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BCDB3" w14:textId="21855C5A" w:rsidR="00CA52FC" w:rsidRDefault="00CA52FC" w:rsidP="00CA52FC">
      <w:pPr>
        <w:pStyle w:val="TitlePage"/>
        <w:spacing w:before="0" w:after="0"/>
        <w:contextualSpacing w:val="0"/>
        <w:jc w:val="right"/>
      </w:pPr>
      <w:r>
        <w:rPr>
          <w:b/>
          <w:sz w:val="24"/>
        </w:rPr>
        <w:t xml:space="preserve">Version </w:t>
      </w:r>
      <w:r w:rsidR="006E64CB">
        <w:rPr>
          <w:b/>
          <w:sz w:val="24"/>
        </w:rPr>
        <w:t>8</w:t>
      </w:r>
      <w:r w:rsidR="000B0ABF">
        <w:rPr>
          <w:b/>
          <w:sz w:val="24"/>
        </w:rPr>
        <w:t>.0</w:t>
      </w:r>
    </w:p>
    <w:p w14:paraId="0399B0A1" w14:textId="77777777" w:rsidR="00801D98" w:rsidRDefault="00801D98">
      <w:pPr>
        <w:spacing w:after="200"/>
        <w:ind w:left="720" w:hanging="720"/>
        <w:jc w:val="center"/>
        <w:rPr>
          <w:b/>
          <w:bCs/>
          <w:sz w:val="32"/>
          <w:szCs w:val="32"/>
        </w:rPr>
      </w:pPr>
    </w:p>
    <w:p w14:paraId="3A19BB11" w14:textId="48C274C4" w:rsidR="00801D98" w:rsidRDefault="00B74FA3">
      <w:pPr>
        <w:spacing w:after="200"/>
        <w:jc w:val="center"/>
        <w:rPr>
          <w:b/>
          <w:bCs/>
          <w:sz w:val="32"/>
          <w:szCs w:val="32"/>
        </w:rPr>
      </w:pPr>
      <w:r>
        <w:rPr>
          <w:b/>
          <w:bCs/>
          <w:sz w:val="32"/>
          <w:szCs w:val="32"/>
        </w:rPr>
        <w:t xml:space="preserve">APPENDIX </w:t>
      </w:r>
      <w:r w:rsidR="0041506A">
        <w:rPr>
          <w:b/>
          <w:bCs/>
          <w:sz w:val="32"/>
          <w:szCs w:val="32"/>
        </w:rPr>
        <w:t>AU</w:t>
      </w:r>
    </w:p>
    <w:p w14:paraId="082A53C3" w14:textId="77777777" w:rsidR="00801D98" w:rsidRDefault="00801D98">
      <w:pPr>
        <w:spacing w:after="200"/>
        <w:ind w:left="720" w:hanging="720"/>
        <w:jc w:val="center"/>
        <w:rPr>
          <w:b/>
          <w:bCs/>
          <w:sz w:val="32"/>
          <w:szCs w:val="32"/>
        </w:rPr>
      </w:pPr>
    </w:p>
    <w:p w14:paraId="5ADC2645" w14:textId="28072914" w:rsidR="00801D98" w:rsidRDefault="00B74FA3">
      <w:pPr>
        <w:spacing w:after="200"/>
        <w:ind w:left="720" w:hanging="720"/>
        <w:jc w:val="center"/>
        <w:rPr>
          <w:b/>
          <w:bCs/>
          <w:sz w:val="32"/>
          <w:szCs w:val="32"/>
        </w:rPr>
      </w:pPr>
      <w:r>
        <w:rPr>
          <w:b/>
          <w:bCs/>
          <w:sz w:val="32"/>
          <w:szCs w:val="32"/>
        </w:rPr>
        <w:t>Network Evolution Transition and Migration Approach Document</w:t>
      </w:r>
    </w:p>
    <w:p w14:paraId="4AB51B61" w14:textId="77777777" w:rsidR="00801D98" w:rsidRDefault="00801D98">
      <w:pPr>
        <w:spacing w:after="200"/>
        <w:ind w:left="720" w:hanging="720"/>
        <w:jc w:val="center"/>
        <w:rPr>
          <w:b/>
          <w:bCs/>
          <w:sz w:val="32"/>
          <w:szCs w:val="32"/>
        </w:rPr>
      </w:pPr>
    </w:p>
    <w:p w14:paraId="20E82AD0" w14:textId="77777777" w:rsidR="00801D98" w:rsidRDefault="00B74FA3">
      <w:pPr>
        <w:jc w:val="left"/>
        <w:rPr>
          <w:b/>
          <w:bCs/>
        </w:rPr>
      </w:pPr>
      <w:r>
        <w:rPr>
          <w:b/>
          <w:bCs/>
        </w:rPr>
        <w:br w:type="page"/>
      </w:r>
    </w:p>
    <w:p w14:paraId="246CE7EC" w14:textId="27F47CDA" w:rsidR="00383420" w:rsidRPr="00383420" w:rsidRDefault="00383420">
      <w:pPr>
        <w:jc w:val="left"/>
        <w:rPr>
          <w:b/>
          <w:bCs/>
          <w:u w:val="single"/>
        </w:rPr>
      </w:pPr>
      <w:r w:rsidRPr="00383420">
        <w:rPr>
          <w:b/>
          <w:bCs/>
          <w:u w:val="single"/>
        </w:rPr>
        <w:lastRenderedPageBreak/>
        <w:t>Contents</w:t>
      </w:r>
    </w:p>
    <w:p w14:paraId="714E9220" w14:textId="28C4ED1E" w:rsidR="00DD6AE5" w:rsidRDefault="00383420">
      <w:pPr>
        <w:pStyle w:val="TOC1"/>
        <w:tabs>
          <w:tab w:val="left" w:pos="480"/>
          <w:tab w:val="right" w:leader="dot" w:pos="9016"/>
        </w:tabs>
        <w:rPr>
          <w:rFonts w:eastAsiaTheme="minorEastAsia" w:cstheme="minorBidi"/>
          <w:b w:val="0"/>
          <w:bCs w:val="0"/>
          <w:noProof/>
          <w:kern w:val="2"/>
          <w:sz w:val="24"/>
          <w:szCs w:val="24"/>
          <w:lang w:eastAsia="en-GB"/>
          <w14:ligatures w14:val="standardContextual"/>
        </w:rPr>
      </w:pPr>
      <w:r w:rsidRPr="00383420">
        <w:rPr>
          <w:rFonts w:ascii="Times New Roman" w:hAnsi="Times New Roman" w:cs="Times New Roman"/>
          <w:sz w:val="24"/>
          <w:szCs w:val="24"/>
        </w:rPr>
        <w:fldChar w:fldCharType="begin"/>
      </w:r>
      <w:r w:rsidRPr="00383420">
        <w:rPr>
          <w:rFonts w:ascii="Times New Roman" w:hAnsi="Times New Roman" w:cs="Times New Roman"/>
          <w:sz w:val="24"/>
          <w:szCs w:val="24"/>
        </w:rPr>
        <w:instrText xml:space="preserve"> TOC \o "1-1" \h \z \u </w:instrText>
      </w:r>
      <w:r w:rsidRPr="00383420">
        <w:rPr>
          <w:rFonts w:ascii="Times New Roman" w:hAnsi="Times New Roman" w:cs="Times New Roman"/>
          <w:sz w:val="24"/>
          <w:szCs w:val="24"/>
        </w:rPr>
        <w:fldChar w:fldCharType="separate"/>
      </w:r>
      <w:hyperlink w:anchor="_Toc219900419" w:history="1">
        <w:r w:rsidR="00DD6AE5" w:rsidRPr="008517E9">
          <w:rPr>
            <w:rStyle w:val="Hyperlink"/>
            <w:rFonts w:ascii="Times New Roman" w:hAnsi="Times New Roman" w:cs="Times New Roman"/>
            <w:noProof/>
          </w:rPr>
          <w:t>1.</w:t>
        </w:r>
        <w:r w:rsidR="00DD6AE5">
          <w:rPr>
            <w:rFonts w:eastAsiaTheme="minorEastAsia" w:cstheme="minorBidi"/>
            <w:b w:val="0"/>
            <w:bCs w:val="0"/>
            <w:noProof/>
            <w:kern w:val="2"/>
            <w:sz w:val="24"/>
            <w:szCs w:val="24"/>
            <w:lang w:eastAsia="en-GB"/>
            <w14:ligatures w14:val="standardContextual"/>
          </w:rPr>
          <w:tab/>
        </w:r>
        <w:r w:rsidR="00DD6AE5" w:rsidRPr="008517E9">
          <w:rPr>
            <w:rStyle w:val="Hyperlink"/>
            <w:noProof/>
          </w:rPr>
          <w:t>Introduction and General Obligations</w:t>
        </w:r>
        <w:r w:rsidR="00DD6AE5">
          <w:rPr>
            <w:noProof/>
            <w:webHidden/>
          </w:rPr>
          <w:tab/>
        </w:r>
        <w:r w:rsidR="00DD6AE5">
          <w:rPr>
            <w:noProof/>
            <w:webHidden/>
          </w:rPr>
          <w:fldChar w:fldCharType="begin"/>
        </w:r>
        <w:r w:rsidR="00DD6AE5">
          <w:rPr>
            <w:noProof/>
            <w:webHidden/>
          </w:rPr>
          <w:instrText xml:space="preserve"> PAGEREF _Toc219900419 \h </w:instrText>
        </w:r>
        <w:r w:rsidR="00DD6AE5">
          <w:rPr>
            <w:noProof/>
            <w:webHidden/>
          </w:rPr>
        </w:r>
        <w:r w:rsidR="00DD6AE5">
          <w:rPr>
            <w:noProof/>
            <w:webHidden/>
          </w:rPr>
          <w:fldChar w:fldCharType="separate"/>
        </w:r>
        <w:r w:rsidR="00DD6AE5">
          <w:rPr>
            <w:noProof/>
            <w:webHidden/>
          </w:rPr>
          <w:t>3</w:t>
        </w:r>
        <w:r w:rsidR="00DD6AE5">
          <w:rPr>
            <w:noProof/>
            <w:webHidden/>
          </w:rPr>
          <w:fldChar w:fldCharType="end"/>
        </w:r>
      </w:hyperlink>
    </w:p>
    <w:p w14:paraId="6E48D4ED" w14:textId="3B4E3AA5" w:rsidR="00DD6AE5" w:rsidRDefault="00DD6AE5">
      <w:pPr>
        <w:pStyle w:val="TOC1"/>
        <w:tabs>
          <w:tab w:val="left" w:pos="480"/>
          <w:tab w:val="right" w:leader="dot" w:pos="9016"/>
        </w:tabs>
        <w:rPr>
          <w:rFonts w:eastAsiaTheme="minorEastAsia" w:cstheme="minorBidi"/>
          <w:b w:val="0"/>
          <w:bCs w:val="0"/>
          <w:noProof/>
          <w:kern w:val="2"/>
          <w:sz w:val="24"/>
          <w:szCs w:val="24"/>
          <w:lang w:eastAsia="en-GB"/>
          <w14:ligatures w14:val="standardContextual"/>
        </w:rPr>
      </w:pPr>
      <w:hyperlink w:anchor="_Toc219900420" w:history="1">
        <w:r w:rsidRPr="008517E9">
          <w:rPr>
            <w:rStyle w:val="Hyperlink"/>
            <w:rFonts w:ascii="Times New Roman" w:hAnsi="Times New Roman" w:cs="Times New Roman"/>
            <w:noProof/>
          </w:rPr>
          <w:t>2.</w:t>
        </w:r>
        <w:r>
          <w:rPr>
            <w:rFonts w:eastAsiaTheme="minorEastAsia" w:cstheme="minorBidi"/>
            <w:b w:val="0"/>
            <w:bCs w:val="0"/>
            <w:noProof/>
            <w:kern w:val="2"/>
            <w:sz w:val="24"/>
            <w:szCs w:val="24"/>
            <w:lang w:eastAsia="en-GB"/>
            <w14:ligatures w14:val="standardContextual"/>
          </w:rPr>
          <w:tab/>
        </w:r>
        <w:r w:rsidRPr="008517E9">
          <w:rPr>
            <w:rStyle w:val="Hyperlink"/>
            <w:noProof/>
          </w:rPr>
          <w:t>Defined Terms and Interpretation for the purpose of the NETMAD</w:t>
        </w:r>
        <w:r>
          <w:rPr>
            <w:noProof/>
            <w:webHidden/>
          </w:rPr>
          <w:tab/>
        </w:r>
        <w:r>
          <w:rPr>
            <w:noProof/>
            <w:webHidden/>
          </w:rPr>
          <w:fldChar w:fldCharType="begin"/>
        </w:r>
        <w:r>
          <w:rPr>
            <w:noProof/>
            <w:webHidden/>
          </w:rPr>
          <w:instrText xml:space="preserve"> PAGEREF _Toc219900420 \h </w:instrText>
        </w:r>
        <w:r>
          <w:rPr>
            <w:noProof/>
            <w:webHidden/>
          </w:rPr>
        </w:r>
        <w:r>
          <w:rPr>
            <w:noProof/>
            <w:webHidden/>
          </w:rPr>
          <w:fldChar w:fldCharType="separate"/>
        </w:r>
        <w:r>
          <w:rPr>
            <w:noProof/>
            <w:webHidden/>
          </w:rPr>
          <w:t>3</w:t>
        </w:r>
        <w:r>
          <w:rPr>
            <w:noProof/>
            <w:webHidden/>
          </w:rPr>
          <w:fldChar w:fldCharType="end"/>
        </w:r>
      </w:hyperlink>
    </w:p>
    <w:p w14:paraId="7B1D7950" w14:textId="21488DB2" w:rsidR="00DD6AE5" w:rsidRDefault="00DD6AE5">
      <w:pPr>
        <w:pStyle w:val="TOC1"/>
        <w:tabs>
          <w:tab w:val="left" w:pos="480"/>
          <w:tab w:val="right" w:leader="dot" w:pos="9016"/>
        </w:tabs>
        <w:rPr>
          <w:rFonts w:eastAsiaTheme="minorEastAsia" w:cstheme="minorBidi"/>
          <w:b w:val="0"/>
          <w:bCs w:val="0"/>
          <w:noProof/>
          <w:kern w:val="2"/>
          <w:sz w:val="24"/>
          <w:szCs w:val="24"/>
          <w:lang w:eastAsia="en-GB"/>
          <w14:ligatures w14:val="standardContextual"/>
        </w:rPr>
      </w:pPr>
      <w:hyperlink w:anchor="_Toc219900421" w:history="1">
        <w:r w:rsidRPr="008517E9">
          <w:rPr>
            <w:rStyle w:val="Hyperlink"/>
            <w:rFonts w:ascii="Times New Roman" w:hAnsi="Times New Roman" w:cs="Times New Roman"/>
            <w:noProof/>
          </w:rPr>
          <w:t>3.</w:t>
        </w:r>
        <w:r>
          <w:rPr>
            <w:rFonts w:eastAsiaTheme="minorEastAsia" w:cstheme="minorBidi"/>
            <w:b w:val="0"/>
            <w:bCs w:val="0"/>
            <w:noProof/>
            <w:kern w:val="2"/>
            <w:sz w:val="24"/>
            <w:szCs w:val="24"/>
            <w:lang w:eastAsia="en-GB"/>
            <w14:ligatures w14:val="standardContextual"/>
          </w:rPr>
          <w:tab/>
        </w:r>
        <w:r w:rsidRPr="008517E9">
          <w:rPr>
            <w:rStyle w:val="Hyperlink"/>
            <w:rFonts w:ascii="Times New Roman" w:hAnsi="Times New Roman" w:cs="Times New Roman"/>
            <w:noProof/>
          </w:rPr>
          <w:t>Coverage Checker</w:t>
        </w:r>
        <w:r>
          <w:rPr>
            <w:noProof/>
            <w:webHidden/>
          </w:rPr>
          <w:tab/>
        </w:r>
        <w:r>
          <w:rPr>
            <w:noProof/>
            <w:webHidden/>
          </w:rPr>
          <w:fldChar w:fldCharType="begin"/>
        </w:r>
        <w:r>
          <w:rPr>
            <w:noProof/>
            <w:webHidden/>
          </w:rPr>
          <w:instrText xml:space="preserve"> PAGEREF _Toc219900421 \h </w:instrText>
        </w:r>
        <w:r>
          <w:rPr>
            <w:noProof/>
            <w:webHidden/>
          </w:rPr>
        </w:r>
        <w:r>
          <w:rPr>
            <w:noProof/>
            <w:webHidden/>
          </w:rPr>
          <w:fldChar w:fldCharType="separate"/>
        </w:r>
        <w:r>
          <w:rPr>
            <w:noProof/>
            <w:webHidden/>
          </w:rPr>
          <w:t>9</w:t>
        </w:r>
        <w:r>
          <w:rPr>
            <w:noProof/>
            <w:webHidden/>
          </w:rPr>
          <w:fldChar w:fldCharType="end"/>
        </w:r>
      </w:hyperlink>
    </w:p>
    <w:p w14:paraId="34C3DD96" w14:textId="37143BB7" w:rsidR="00DD6AE5" w:rsidRDefault="00DD6AE5">
      <w:pPr>
        <w:pStyle w:val="TOC1"/>
        <w:tabs>
          <w:tab w:val="left" w:pos="480"/>
          <w:tab w:val="right" w:leader="dot" w:pos="9016"/>
        </w:tabs>
        <w:rPr>
          <w:rFonts w:eastAsiaTheme="minorEastAsia" w:cstheme="minorBidi"/>
          <w:b w:val="0"/>
          <w:bCs w:val="0"/>
          <w:noProof/>
          <w:kern w:val="2"/>
          <w:sz w:val="24"/>
          <w:szCs w:val="24"/>
          <w:lang w:eastAsia="en-GB"/>
          <w14:ligatures w14:val="standardContextual"/>
        </w:rPr>
      </w:pPr>
      <w:hyperlink w:anchor="_Toc219900422" w:history="1">
        <w:r w:rsidRPr="008517E9">
          <w:rPr>
            <w:rStyle w:val="Hyperlink"/>
            <w:rFonts w:ascii="Times New Roman" w:hAnsi="Times New Roman" w:cs="Times New Roman"/>
            <w:noProof/>
          </w:rPr>
          <w:t>4.</w:t>
        </w:r>
        <w:r>
          <w:rPr>
            <w:rFonts w:eastAsiaTheme="minorEastAsia" w:cstheme="minorBidi"/>
            <w:b w:val="0"/>
            <w:bCs w:val="0"/>
            <w:noProof/>
            <w:kern w:val="2"/>
            <w:sz w:val="24"/>
            <w:szCs w:val="24"/>
            <w:lang w:eastAsia="en-GB"/>
            <w14:ligatures w14:val="standardContextual"/>
          </w:rPr>
          <w:tab/>
        </w:r>
        <w:r w:rsidRPr="008517E9">
          <w:rPr>
            <w:rStyle w:val="Hyperlink"/>
            <w:noProof/>
          </w:rPr>
          <w:t>Initial Pallet Validation</w:t>
        </w:r>
        <w:r>
          <w:rPr>
            <w:noProof/>
            <w:webHidden/>
          </w:rPr>
          <w:tab/>
        </w:r>
        <w:r>
          <w:rPr>
            <w:noProof/>
            <w:webHidden/>
          </w:rPr>
          <w:fldChar w:fldCharType="begin"/>
        </w:r>
        <w:r>
          <w:rPr>
            <w:noProof/>
            <w:webHidden/>
          </w:rPr>
          <w:instrText xml:space="preserve"> PAGEREF _Toc219900422 \h </w:instrText>
        </w:r>
        <w:r>
          <w:rPr>
            <w:noProof/>
            <w:webHidden/>
          </w:rPr>
        </w:r>
        <w:r>
          <w:rPr>
            <w:noProof/>
            <w:webHidden/>
          </w:rPr>
          <w:fldChar w:fldCharType="separate"/>
        </w:r>
        <w:r>
          <w:rPr>
            <w:noProof/>
            <w:webHidden/>
          </w:rPr>
          <w:t>10</w:t>
        </w:r>
        <w:r>
          <w:rPr>
            <w:noProof/>
            <w:webHidden/>
          </w:rPr>
          <w:fldChar w:fldCharType="end"/>
        </w:r>
      </w:hyperlink>
    </w:p>
    <w:p w14:paraId="59189025" w14:textId="24ACF231" w:rsidR="00DD6AE5" w:rsidRDefault="00DD6AE5">
      <w:pPr>
        <w:pStyle w:val="TOC1"/>
        <w:tabs>
          <w:tab w:val="left" w:pos="480"/>
          <w:tab w:val="right" w:leader="dot" w:pos="9016"/>
        </w:tabs>
        <w:rPr>
          <w:rFonts w:eastAsiaTheme="minorEastAsia" w:cstheme="minorBidi"/>
          <w:b w:val="0"/>
          <w:bCs w:val="0"/>
          <w:noProof/>
          <w:kern w:val="2"/>
          <w:sz w:val="24"/>
          <w:szCs w:val="24"/>
          <w:lang w:eastAsia="en-GB"/>
          <w14:ligatures w14:val="standardContextual"/>
        </w:rPr>
      </w:pPr>
      <w:hyperlink w:anchor="_Toc219900423" w:history="1">
        <w:r w:rsidRPr="008517E9">
          <w:rPr>
            <w:rStyle w:val="Hyperlink"/>
            <w:rFonts w:ascii="Times New Roman" w:hAnsi="Times New Roman" w:cs="Times New Roman"/>
            <w:noProof/>
          </w:rPr>
          <w:t>5.</w:t>
        </w:r>
        <w:r>
          <w:rPr>
            <w:rFonts w:eastAsiaTheme="minorEastAsia" w:cstheme="minorBidi"/>
            <w:b w:val="0"/>
            <w:bCs w:val="0"/>
            <w:noProof/>
            <w:kern w:val="2"/>
            <w:sz w:val="24"/>
            <w:szCs w:val="24"/>
            <w:lang w:eastAsia="en-GB"/>
            <w14:ligatures w14:val="standardContextual"/>
          </w:rPr>
          <w:tab/>
        </w:r>
        <w:r w:rsidRPr="008517E9">
          <w:rPr>
            <w:rStyle w:val="Hyperlink"/>
            <w:noProof/>
          </w:rPr>
          <w:t>Ordering of 4G Communications Hubs for Initial Pallet Validation</w:t>
        </w:r>
        <w:r>
          <w:rPr>
            <w:noProof/>
            <w:webHidden/>
          </w:rPr>
          <w:tab/>
        </w:r>
        <w:r>
          <w:rPr>
            <w:noProof/>
            <w:webHidden/>
          </w:rPr>
          <w:fldChar w:fldCharType="begin"/>
        </w:r>
        <w:r>
          <w:rPr>
            <w:noProof/>
            <w:webHidden/>
          </w:rPr>
          <w:instrText xml:space="preserve"> PAGEREF _Toc219900423 \h </w:instrText>
        </w:r>
        <w:r>
          <w:rPr>
            <w:noProof/>
            <w:webHidden/>
          </w:rPr>
        </w:r>
        <w:r>
          <w:rPr>
            <w:noProof/>
            <w:webHidden/>
          </w:rPr>
          <w:fldChar w:fldCharType="separate"/>
        </w:r>
        <w:r>
          <w:rPr>
            <w:noProof/>
            <w:webHidden/>
          </w:rPr>
          <w:t>13</w:t>
        </w:r>
        <w:r>
          <w:rPr>
            <w:noProof/>
            <w:webHidden/>
          </w:rPr>
          <w:fldChar w:fldCharType="end"/>
        </w:r>
      </w:hyperlink>
    </w:p>
    <w:p w14:paraId="1E5EAE51" w14:textId="73A93422" w:rsidR="00DD6AE5" w:rsidRDefault="00DD6AE5">
      <w:pPr>
        <w:pStyle w:val="TOC1"/>
        <w:tabs>
          <w:tab w:val="left" w:pos="480"/>
          <w:tab w:val="right" w:leader="dot" w:pos="9016"/>
        </w:tabs>
        <w:rPr>
          <w:rFonts w:eastAsiaTheme="minorEastAsia" w:cstheme="minorBidi"/>
          <w:b w:val="0"/>
          <w:bCs w:val="0"/>
          <w:noProof/>
          <w:kern w:val="2"/>
          <w:sz w:val="24"/>
          <w:szCs w:val="24"/>
          <w:lang w:eastAsia="en-GB"/>
          <w14:ligatures w14:val="standardContextual"/>
        </w:rPr>
      </w:pPr>
      <w:hyperlink w:anchor="_Toc219900424" w:history="1">
        <w:r w:rsidRPr="008517E9">
          <w:rPr>
            <w:rStyle w:val="Hyperlink"/>
            <w:rFonts w:ascii="Times New Roman" w:hAnsi="Times New Roman" w:cs="Times New Roman"/>
            <w:noProof/>
          </w:rPr>
          <w:t>6.</w:t>
        </w:r>
        <w:r>
          <w:rPr>
            <w:rFonts w:eastAsiaTheme="minorEastAsia" w:cstheme="minorBidi"/>
            <w:b w:val="0"/>
            <w:bCs w:val="0"/>
            <w:noProof/>
            <w:kern w:val="2"/>
            <w:sz w:val="24"/>
            <w:szCs w:val="24"/>
            <w:lang w:eastAsia="en-GB"/>
            <w14:ligatures w14:val="standardContextual"/>
          </w:rPr>
          <w:tab/>
        </w:r>
        <w:r w:rsidRPr="008517E9">
          <w:rPr>
            <w:rStyle w:val="Hyperlink"/>
            <w:noProof/>
          </w:rPr>
          <w:t>Transitional 4G Communications Hub Forecasts and Ordering: Application of Section F (Smart Metering System Requirements)</w:t>
        </w:r>
        <w:r>
          <w:rPr>
            <w:noProof/>
            <w:webHidden/>
          </w:rPr>
          <w:tab/>
        </w:r>
        <w:r>
          <w:rPr>
            <w:noProof/>
            <w:webHidden/>
          </w:rPr>
          <w:fldChar w:fldCharType="begin"/>
        </w:r>
        <w:r>
          <w:rPr>
            <w:noProof/>
            <w:webHidden/>
          </w:rPr>
          <w:instrText xml:space="preserve"> PAGEREF _Toc219900424 \h </w:instrText>
        </w:r>
        <w:r>
          <w:rPr>
            <w:noProof/>
            <w:webHidden/>
          </w:rPr>
        </w:r>
        <w:r>
          <w:rPr>
            <w:noProof/>
            <w:webHidden/>
          </w:rPr>
          <w:fldChar w:fldCharType="separate"/>
        </w:r>
        <w:r>
          <w:rPr>
            <w:noProof/>
            <w:webHidden/>
          </w:rPr>
          <w:t>16</w:t>
        </w:r>
        <w:r>
          <w:rPr>
            <w:noProof/>
            <w:webHidden/>
          </w:rPr>
          <w:fldChar w:fldCharType="end"/>
        </w:r>
      </w:hyperlink>
    </w:p>
    <w:p w14:paraId="315208DB" w14:textId="27D321B7" w:rsidR="00DD6AE5" w:rsidRDefault="00DD6AE5">
      <w:pPr>
        <w:pStyle w:val="TOC1"/>
        <w:tabs>
          <w:tab w:val="left" w:pos="480"/>
          <w:tab w:val="right" w:leader="dot" w:pos="9016"/>
        </w:tabs>
        <w:rPr>
          <w:rFonts w:eastAsiaTheme="minorEastAsia" w:cstheme="minorBidi"/>
          <w:b w:val="0"/>
          <w:bCs w:val="0"/>
          <w:noProof/>
          <w:kern w:val="2"/>
          <w:sz w:val="24"/>
          <w:szCs w:val="24"/>
          <w:lang w:eastAsia="en-GB"/>
          <w14:ligatures w14:val="standardContextual"/>
        </w:rPr>
      </w:pPr>
      <w:hyperlink w:anchor="_Toc219900425" w:history="1">
        <w:r w:rsidRPr="008517E9">
          <w:rPr>
            <w:rStyle w:val="Hyperlink"/>
            <w:rFonts w:ascii="Times New Roman" w:hAnsi="Times New Roman" w:cs="Times New Roman"/>
            <w:noProof/>
          </w:rPr>
          <w:t>7.</w:t>
        </w:r>
        <w:r>
          <w:rPr>
            <w:rFonts w:eastAsiaTheme="minorEastAsia" w:cstheme="minorBidi"/>
            <w:b w:val="0"/>
            <w:bCs w:val="0"/>
            <w:noProof/>
            <w:kern w:val="2"/>
            <w:sz w:val="24"/>
            <w:szCs w:val="24"/>
            <w:lang w:eastAsia="en-GB"/>
            <w14:ligatures w14:val="standardContextual"/>
          </w:rPr>
          <w:tab/>
        </w:r>
        <w:r w:rsidRPr="008517E9">
          <w:rPr>
            <w:rStyle w:val="Hyperlink"/>
            <w:noProof/>
          </w:rPr>
          <w:t>Mesh Communications Hubs</w:t>
        </w:r>
        <w:r>
          <w:rPr>
            <w:noProof/>
            <w:webHidden/>
          </w:rPr>
          <w:tab/>
        </w:r>
        <w:r>
          <w:rPr>
            <w:noProof/>
            <w:webHidden/>
          </w:rPr>
          <w:fldChar w:fldCharType="begin"/>
        </w:r>
        <w:r>
          <w:rPr>
            <w:noProof/>
            <w:webHidden/>
          </w:rPr>
          <w:instrText xml:space="preserve"> PAGEREF _Toc219900425 \h </w:instrText>
        </w:r>
        <w:r>
          <w:rPr>
            <w:noProof/>
            <w:webHidden/>
          </w:rPr>
        </w:r>
        <w:r>
          <w:rPr>
            <w:noProof/>
            <w:webHidden/>
          </w:rPr>
          <w:fldChar w:fldCharType="separate"/>
        </w:r>
        <w:r>
          <w:rPr>
            <w:noProof/>
            <w:webHidden/>
          </w:rPr>
          <w:t>18</w:t>
        </w:r>
        <w:r>
          <w:rPr>
            <w:noProof/>
            <w:webHidden/>
          </w:rPr>
          <w:fldChar w:fldCharType="end"/>
        </w:r>
      </w:hyperlink>
    </w:p>
    <w:p w14:paraId="332A9293" w14:textId="316F49F1" w:rsidR="00DD6AE5" w:rsidRDefault="00DD6AE5">
      <w:pPr>
        <w:pStyle w:val="TOC1"/>
        <w:tabs>
          <w:tab w:val="left" w:pos="480"/>
          <w:tab w:val="right" w:leader="dot" w:pos="9016"/>
        </w:tabs>
        <w:rPr>
          <w:rFonts w:eastAsiaTheme="minorEastAsia" w:cstheme="minorBidi"/>
          <w:b w:val="0"/>
          <w:bCs w:val="0"/>
          <w:noProof/>
          <w:kern w:val="2"/>
          <w:sz w:val="24"/>
          <w:szCs w:val="24"/>
          <w:lang w:eastAsia="en-GB"/>
          <w14:ligatures w14:val="standardContextual"/>
        </w:rPr>
      </w:pPr>
      <w:hyperlink w:anchor="_Toc219900426" w:history="1">
        <w:r w:rsidRPr="008517E9">
          <w:rPr>
            <w:rStyle w:val="Hyperlink"/>
            <w:rFonts w:ascii="Times New Roman" w:hAnsi="Times New Roman" w:cs="Times New Roman"/>
            <w:noProof/>
          </w:rPr>
          <w:t>8.</w:t>
        </w:r>
        <w:r>
          <w:rPr>
            <w:rFonts w:eastAsiaTheme="minorEastAsia" w:cstheme="minorBidi"/>
            <w:b w:val="0"/>
            <w:bCs w:val="0"/>
            <w:noProof/>
            <w:kern w:val="2"/>
            <w:sz w:val="24"/>
            <w:szCs w:val="24"/>
            <w:lang w:eastAsia="en-GB"/>
            <w14:ligatures w14:val="standardContextual"/>
          </w:rPr>
          <w:tab/>
        </w:r>
        <w:r w:rsidRPr="008517E9">
          <w:rPr>
            <w:rStyle w:val="Hyperlink"/>
            <w:rFonts w:ascii="Times New Roman" w:hAnsi="Times New Roman" w:cs="Times New Roman"/>
            <w:noProof/>
          </w:rPr>
          <w:t>Initial Pallet Manufacture</w:t>
        </w:r>
        <w:r>
          <w:rPr>
            <w:noProof/>
            <w:webHidden/>
          </w:rPr>
          <w:tab/>
        </w:r>
        <w:r>
          <w:rPr>
            <w:noProof/>
            <w:webHidden/>
          </w:rPr>
          <w:fldChar w:fldCharType="begin"/>
        </w:r>
        <w:r>
          <w:rPr>
            <w:noProof/>
            <w:webHidden/>
          </w:rPr>
          <w:instrText xml:space="preserve"> PAGEREF _Toc219900426 \h </w:instrText>
        </w:r>
        <w:r>
          <w:rPr>
            <w:noProof/>
            <w:webHidden/>
          </w:rPr>
        </w:r>
        <w:r>
          <w:rPr>
            <w:noProof/>
            <w:webHidden/>
          </w:rPr>
          <w:fldChar w:fldCharType="separate"/>
        </w:r>
        <w:r>
          <w:rPr>
            <w:noProof/>
            <w:webHidden/>
          </w:rPr>
          <w:t>19</w:t>
        </w:r>
        <w:r>
          <w:rPr>
            <w:noProof/>
            <w:webHidden/>
          </w:rPr>
          <w:fldChar w:fldCharType="end"/>
        </w:r>
      </w:hyperlink>
    </w:p>
    <w:p w14:paraId="0345E327" w14:textId="313F3537" w:rsidR="00DD6AE5" w:rsidRDefault="00DD6AE5">
      <w:pPr>
        <w:pStyle w:val="TOC1"/>
        <w:tabs>
          <w:tab w:val="left" w:pos="480"/>
          <w:tab w:val="right" w:leader="dot" w:pos="9016"/>
        </w:tabs>
        <w:rPr>
          <w:rFonts w:eastAsiaTheme="minorEastAsia" w:cstheme="minorBidi"/>
          <w:b w:val="0"/>
          <w:bCs w:val="0"/>
          <w:noProof/>
          <w:kern w:val="2"/>
          <w:sz w:val="24"/>
          <w:szCs w:val="24"/>
          <w:lang w:eastAsia="en-GB"/>
          <w14:ligatures w14:val="standardContextual"/>
        </w:rPr>
      </w:pPr>
      <w:hyperlink w:anchor="_Toc219900427" w:history="1">
        <w:r w:rsidRPr="008517E9">
          <w:rPr>
            <w:rStyle w:val="Hyperlink"/>
            <w:rFonts w:ascii="Times New Roman" w:hAnsi="Times New Roman" w:cs="Times New Roman"/>
            <w:noProof/>
          </w:rPr>
          <w:t>9.</w:t>
        </w:r>
        <w:r>
          <w:rPr>
            <w:rFonts w:eastAsiaTheme="minorEastAsia" w:cstheme="minorBidi"/>
            <w:b w:val="0"/>
            <w:bCs w:val="0"/>
            <w:noProof/>
            <w:kern w:val="2"/>
            <w:sz w:val="24"/>
            <w:szCs w:val="24"/>
            <w:lang w:eastAsia="en-GB"/>
            <w14:ligatures w14:val="standardContextual"/>
          </w:rPr>
          <w:tab/>
        </w:r>
        <w:r w:rsidRPr="008517E9">
          <w:rPr>
            <w:rStyle w:val="Hyperlink"/>
            <w:rFonts w:ascii="Times New Roman" w:hAnsi="Times New Roman" w:cs="Times New Roman"/>
            <w:noProof/>
          </w:rPr>
          <w:t>General Provisions Relating to Transition</w:t>
        </w:r>
        <w:r>
          <w:rPr>
            <w:noProof/>
            <w:webHidden/>
          </w:rPr>
          <w:tab/>
        </w:r>
        <w:r>
          <w:rPr>
            <w:noProof/>
            <w:webHidden/>
          </w:rPr>
          <w:fldChar w:fldCharType="begin"/>
        </w:r>
        <w:r>
          <w:rPr>
            <w:noProof/>
            <w:webHidden/>
          </w:rPr>
          <w:instrText xml:space="preserve"> PAGEREF _Toc219900427 \h </w:instrText>
        </w:r>
        <w:r>
          <w:rPr>
            <w:noProof/>
            <w:webHidden/>
          </w:rPr>
        </w:r>
        <w:r>
          <w:rPr>
            <w:noProof/>
            <w:webHidden/>
          </w:rPr>
          <w:fldChar w:fldCharType="separate"/>
        </w:r>
        <w:r>
          <w:rPr>
            <w:noProof/>
            <w:webHidden/>
          </w:rPr>
          <w:t>19</w:t>
        </w:r>
        <w:r>
          <w:rPr>
            <w:noProof/>
            <w:webHidden/>
          </w:rPr>
          <w:fldChar w:fldCharType="end"/>
        </w:r>
      </w:hyperlink>
    </w:p>
    <w:p w14:paraId="2B28092A" w14:textId="7315610E" w:rsidR="00DD6AE5" w:rsidRDefault="00DD6AE5">
      <w:pPr>
        <w:pStyle w:val="TOC1"/>
        <w:tabs>
          <w:tab w:val="left" w:pos="720"/>
          <w:tab w:val="right" w:leader="dot" w:pos="9016"/>
        </w:tabs>
        <w:rPr>
          <w:rFonts w:eastAsiaTheme="minorEastAsia" w:cstheme="minorBidi"/>
          <w:b w:val="0"/>
          <w:bCs w:val="0"/>
          <w:noProof/>
          <w:kern w:val="2"/>
          <w:sz w:val="24"/>
          <w:szCs w:val="24"/>
          <w:lang w:eastAsia="en-GB"/>
          <w14:ligatures w14:val="standardContextual"/>
        </w:rPr>
      </w:pPr>
      <w:hyperlink w:anchor="_Toc219900428" w:history="1">
        <w:r w:rsidRPr="008517E9">
          <w:rPr>
            <w:rStyle w:val="Hyperlink"/>
            <w:rFonts w:ascii="Times New Roman" w:hAnsi="Times New Roman" w:cs="Times New Roman"/>
            <w:noProof/>
          </w:rPr>
          <w:t>10.</w:t>
        </w:r>
        <w:r>
          <w:rPr>
            <w:rFonts w:eastAsiaTheme="minorEastAsia" w:cstheme="minorBidi"/>
            <w:b w:val="0"/>
            <w:bCs w:val="0"/>
            <w:noProof/>
            <w:kern w:val="2"/>
            <w:sz w:val="24"/>
            <w:szCs w:val="24"/>
            <w:lang w:eastAsia="en-GB"/>
            <w14:ligatures w14:val="standardContextual"/>
          </w:rPr>
          <w:tab/>
        </w:r>
        <w:r w:rsidRPr="008517E9">
          <w:rPr>
            <w:rStyle w:val="Hyperlink"/>
            <w:rFonts w:ascii="Times New Roman" w:hAnsi="Times New Roman" w:cs="Times New Roman"/>
            <w:noProof/>
          </w:rPr>
          <w:t>Trust Centre Swap Out Visit</w:t>
        </w:r>
        <w:r>
          <w:rPr>
            <w:noProof/>
            <w:webHidden/>
          </w:rPr>
          <w:tab/>
        </w:r>
        <w:r>
          <w:rPr>
            <w:noProof/>
            <w:webHidden/>
          </w:rPr>
          <w:fldChar w:fldCharType="begin"/>
        </w:r>
        <w:r>
          <w:rPr>
            <w:noProof/>
            <w:webHidden/>
          </w:rPr>
          <w:instrText xml:space="preserve"> PAGEREF _Toc219900428 \h </w:instrText>
        </w:r>
        <w:r>
          <w:rPr>
            <w:noProof/>
            <w:webHidden/>
          </w:rPr>
        </w:r>
        <w:r>
          <w:rPr>
            <w:noProof/>
            <w:webHidden/>
          </w:rPr>
          <w:fldChar w:fldCharType="separate"/>
        </w:r>
        <w:r>
          <w:rPr>
            <w:noProof/>
            <w:webHidden/>
          </w:rPr>
          <w:t>20</w:t>
        </w:r>
        <w:r>
          <w:rPr>
            <w:noProof/>
            <w:webHidden/>
          </w:rPr>
          <w:fldChar w:fldCharType="end"/>
        </w:r>
      </w:hyperlink>
    </w:p>
    <w:p w14:paraId="39F45A5D" w14:textId="2C4C391F" w:rsidR="00DD6AE5" w:rsidRDefault="00DD6AE5">
      <w:pPr>
        <w:pStyle w:val="TOC1"/>
        <w:tabs>
          <w:tab w:val="left" w:pos="720"/>
          <w:tab w:val="right" w:leader="dot" w:pos="9016"/>
        </w:tabs>
        <w:rPr>
          <w:rFonts w:eastAsiaTheme="minorEastAsia" w:cstheme="minorBidi"/>
          <w:b w:val="0"/>
          <w:bCs w:val="0"/>
          <w:noProof/>
          <w:kern w:val="2"/>
          <w:sz w:val="24"/>
          <w:szCs w:val="24"/>
          <w:lang w:eastAsia="en-GB"/>
          <w14:ligatures w14:val="standardContextual"/>
        </w:rPr>
      </w:pPr>
      <w:hyperlink w:anchor="_Toc219900429" w:history="1">
        <w:r w:rsidRPr="008517E9">
          <w:rPr>
            <w:rStyle w:val="Hyperlink"/>
            <w:rFonts w:ascii="Times New Roman" w:hAnsi="Times New Roman" w:cs="Times New Roman"/>
            <w:noProof/>
          </w:rPr>
          <w:t>11.</w:t>
        </w:r>
        <w:r>
          <w:rPr>
            <w:rFonts w:eastAsiaTheme="minorEastAsia" w:cstheme="minorBidi"/>
            <w:b w:val="0"/>
            <w:bCs w:val="0"/>
            <w:noProof/>
            <w:kern w:val="2"/>
            <w:sz w:val="24"/>
            <w:szCs w:val="24"/>
            <w:lang w:eastAsia="en-GB"/>
            <w14:ligatures w14:val="standardContextual"/>
          </w:rPr>
          <w:tab/>
        </w:r>
        <w:r w:rsidRPr="008517E9">
          <w:rPr>
            <w:rStyle w:val="Hyperlink"/>
            <w:noProof/>
          </w:rPr>
          <w:t>Transition to the Future Service Management Platform</w:t>
        </w:r>
        <w:r>
          <w:rPr>
            <w:noProof/>
            <w:webHidden/>
          </w:rPr>
          <w:tab/>
        </w:r>
        <w:r>
          <w:rPr>
            <w:noProof/>
            <w:webHidden/>
          </w:rPr>
          <w:fldChar w:fldCharType="begin"/>
        </w:r>
        <w:r>
          <w:rPr>
            <w:noProof/>
            <w:webHidden/>
          </w:rPr>
          <w:instrText xml:space="preserve"> PAGEREF _Toc219900429 \h </w:instrText>
        </w:r>
        <w:r>
          <w:rPr>
            <w:noProof/>
            <w:webHidden/>
          </w:rPr>
        </w:r>
        <w:r>
          <w:rPr>
            <w:noProof/>
            <w:webHidden/>
          </w:rPr>
          <w:fldChar w:fldCharType="separate"/>
        </w:r>
        <w:r>
          <w:rPr>
            <w:noProof/>
            <w:webHidden/>
          </w:rPr>
          <w:t>22</w:t>
        </w:r>
        <w:r>
          <w:rPr>
            <w:noProof/>
            <w:webHidden/>
          </w:rPr>
          <w:fldChar w:fldCharType="end"/>
        </w:r>
      </w:hyperlink>
    </w:p>
    <w:p w14:paraId="6E3B84EA" w14:textId="1E253BC4" w:rsidR="00DD6AE5" w:rsidRDefault="00DD6AE5">
      <w:pPr>
        <w:pStyle w:val="TOC1"/>
        <w:tabs>
          <w:tab w:val="left" w:pos="720"/>
          <w:tab w:val="right" w:leader="dot" w:pos="9016"/>
        </w:tabs>
        <w:rPr>
          <w:rFonts w:eastAsiaTheme="minorEastAsia" w:cstheme="minorBidi"/>
          <w:b w:val="0"/>
          <w:bCs w:val="0"/>
          <w:noProof/>
          <w:kern w:val="2"/>
          <w:sz w:val="24"/>
          <w:szCs w:val="24"/>
          <w:lang w:eastAsia="en-GB"/>
          <w14:ligatures w14:val="standardContextual"/>
        </w:rPr>
      </w:pPr>
      <w:hyperlink w:anchor="_Toc219900430" w:history="1">
        <w:r w:rsidRPr="008517E9">
          <w:rPr>
            <w:rStyle w:val="Hyperlink"/>
            <w:rFonts w:ascii="Times New Roman" w:hAnsi="Times New Roman" w:cs="Times New Roman"/>
            <w:noProof/>
          </w:rPr>
          <w:t>12.</w:t>
        </w:r>
        <w:r>
          <w:rPr>
            <w:rFonts w:eastAsiaTheme="minorEastAsia" w:cstheme="minorBidi"/>
            <w:b w:val="0"/>
            <w:bCs w:val="0"/>
            <w:noProof/>
            <w:kern w:val="2"/>
            <w:sz w:val="24"/>
            <w:szCs w:val="24"/>
            <w:lang w:eastAsia="en-GB"/>
            <w14:ligatures w14:val="standardContextual"/>
          </w:rPr>
          <w:tab/>
        </w:r>
        <w:r w:rsidRPr="008517E9">
          <w:rPr>
            <w:rStyle w:val="Hyperlink"/>
            <w:noProof/>
          </w:rPr>
          <w:t>SSI Access Control Specification for the FSM UIT Environment and FSM Migration Environment</w:t>
        </w:r>
        <w:r>
          <w:rPr>
            <w:noProof/>
            <w:webHidden/>
          </w:rPr>
          <w:tab/>
        </w:r>
        <w:r>
          <w:rPr>
            <w:noProof/>
            <w:webHidden/>
          </w:rPr>
          <w:fldChar w:fldCharType="begin"/>
        </w:r>
        <w:r>
          <w:rPr>
            <w:noProof/>
            <w:webHidden/>
          </w:rPr>
          <w:instrText xml:space="preserve"> PAGEREF _Toc219900430 \h </w:instrText>
        </w:r>
        <w:r>
          <w:rPr>
            <w:noProof/>
            <w:webHidden/>
          </w:rPr>
        </w:r>
        <w:r>
          <w:rPr>
            <w:noProof/>
            <w:webHidden/>
          </w:rPr>
          <w:fldChar w:fldCharType="separate"/>
        </w:r>
        <w:r>
          <w:rPr>
            <w:noProof/>
            <w:webHidden/>
          </w:rPr>
          <w:t>28</w:t>
        </w:r>
        <w:r>
          <w:rPr>
            <w:noProof/>
            <w:webHidden/>
          </w:rPr>
          <w:fldChar w:fldCharType="end"/>
        </w:r>
      </w:hyperlink>
    </w:p>
    <w:p w14:paraId="7C66EAC2" w14:textId="67EB1618" w:rsidR="00DD6AE5" w:rsidRDefault="00DD6AE5">
      <w:pPr>
        <w:pStyle w:val="TOC1"/>
        <w:tabs>
          <w:tab w:val="left" w:pos="720"/>
          <w:tab w:val="right" w:leader="dot" w:pos="9016"/>
        </w:tabs>
        <w:rPr>
          <w:rFonts w:eastAsiaTheme="minorEastAsia" w:cstheme="minorBidi"/>
          <w:b w:val="0"/>
          <w:bCs w:val="0"/>
          <w:noProof/>
          <w:kern w:val="2"/>
          <w:sz w:val="24"/>
          <w:szCs w:val="24"/>
          <w:lang w:eastAsia="en-GB"/>
          <w14:ligatures w14:val="standardContextual"/>
        </w:rPr>
      </w:pPr>
      <w:hyperlink w:anchor="_Toc219900431" w:history="1">
        <w:r w:rsidRPr="008517E9">
          <w:rPr>
            <w:rStyle w:val="Hyperlink"/>
            <w:rFonts w:ascii="Times New Roman" w:hAnsi="Times New Roman" w:cs="Times New Roman"/>
            <w:noProof/>
          </w:rPr>
          <w:t>13.</w:t>
        </w:r>
        <w:r>
          <w:rPr>
            <w:rFonts w:eastAsiaTheme="minorEastAsia" w:cstheme="minorBidi"/>
            <w:b w:val="0"/>
            <w:bCs w:val="0"/>
            <w:noProof/>
            <w:kern w:val="2"/>
            <w:sz w:val="24"/>
            <w:szCs w:val="24"/>
            <w:lang w:eastAsia="en-GB"/>
            <w14:ligatures w14:val="standardContextual"/>
          </w:rPr>
          <w:tab/>
        </w:r>
        <w:r w:rsidRPr="008517E9">
          <w:rPr>
            <w:rStyle w:val="Hyperlink"/>
            <w:noProof/>
          </w:rPr>
          <w:t>Application of Section H15, Section E3 and Appendix G of the Code in respect of Legacy Gateway Connections</w:t>
        </w:r>
        <w:r>
          <w:rPr>
            <w:noProof/>
            <w:webHidden/>
          </w:rPr>
          <w:tab/>
        </w:r>
        <w:r>
          <w:rPr>
            <w:noProof/>
            <w:webHidden/>
          </w:rPr>
          <w:fldChar w:fldCharType="begin"/>
        </w:r>
        <w:r>
          <w:rPr>
            <w:noProof/>
            <w:webHidden/>
          </w:rPr>
          <w:instrText xml:space="preserve"> PAGEREF _Toc219900431 \h </w:instrText>
        </w:r>
        <w:r>
          <w:rPr>
            <w:noProof/>
            <w:webHidden/>
          </w:rPr>
        </w:r>
        <w:r>
          <w:rPr>
            <w:noProof/>
            <w:webHidden/>
          </w:rPr>
          <w:fldChar w:fldCharType="separate"/>
        </w:r>
        <w:r>
          <w:rPr>
            <w:noProof/>
            <w:webHidden/>
          </w:rPr>
          <w:t>32</w:t>
        </w:r>
        <w:r>
          <w:rPr>
            <w:noProof/>
            <w:webHidden/>
          </w:rPr>
          <w:fldChar w:fldCharType="end"/>
        </w:r>
      </w:hyperlink>
    </w:p>
    <w:p w14:paraId="13490818" w14:textId="76C4F6F9" w:rsidR="00DD6AE5" w:rsidRDefault="00DD6AE5">
      <w:pPr>
        <w:pStyle w:val="TOC1"/>
        <w:tabs>
          <w:tab w:val="left" w:pos="720"/>
          <w:tab w:val="right" w:leader="dot" w:pos="9016"/>
        </w:tabs>
        <w:rPr>
          <w:rFonts w:eastAsiaTheme="minorEastAsia" w:cstheme="minorBidi"/>
          <w:b w:val="0"/>
          <w:bCs w:val="0"/>
          <w:noProof/>
          <w:kern w:val="2"/>
          <w:sz w:val="24"/>
          <w:szCs w:val="24"/>
          <w:lang w:eastAsia="en-GB"/>
          <w14:ligatures w14:val="standardContextual"/>
        </w:rPr>
      </w:pPr>
      <w:hyperlink w:anchor="_Toc219900432" w:history="1">
        <w:r w:rsidRPr="008517E9">
          <w:rPr>
            <w:rStyle w:val="Hyperlink"/>
            <w:rFonts w:ascii="Times New Roman" w:hAnsi="Times New Roman" w:cs="Times New Roman"/>
            <w:noProof/>
          </w:rPr>
          <w:t>14.</w:t>
        </w:r>
        <w:r>
          <w:rPr>
            <w:rFonts w:eastAsiaTheme="minorEastAsia" w:cstheme="minorBidi"/>
            <w:b w:val="0"/>
            <w:bCs w:val="0"/>
            <w:noProof/>
            <w:kern w:val="2"/>
            <w:sz w:val="24"/>
            <w:szCs w:val="24"/>
            <w:lang w:eastAsia="en-GB"/>
            <w14:ligatures w14:val="standardContextual"/>
          </w:rPr>
          <w:tab/>
        </w:r>
        <w:r w:rsidRPr="008517E9">
          <w:rPr>
            <w:rStyle w:val="Hyperlink"/>
            <w:noProof/>
          </w:rPr>
          <w:t>Application of Annexes 1-5 of this NETMAD in respect of DCC Connect Gateway Connections</w:t>
        </w:r>
        <w:r>
          <w:rPr>
            <w:noProof/>
            <w:webHidden/>
          </w:rPr>
          <w:tab/>
        </w:r>
        <w:r>
          <w:rPr>
            <w:noProof/>
            <w:webHidden/>
          </w:rPr>
          <w:fldChar w:fldCharType="begin"/>
        </w:r>
        <w:r>
          <w:rPr>
            <w:noProof/>
            <w:webHidden/>
          </w:rPr>
          <w:instrText xml:space="preserve"> PAGEREF _Toc219900432 \h </w:instrText>
        </w:r>
        <w:r>
          <w:rPr>
            <w:noProof/>
            <w:webHidden/>
          </w:rPr>
        </w:r>
        <w:r>
          <w:rPr>
            <w:noProof/>
            <w:webHidden/>
          </w:rPr>
          <w:fldChar w:fldCharType="separate"/>
        </w:r>
        <w:r>
          <w:rPr>
            <w:noProof/>
            <w:webHidden/>
          </w:rPr>
          <w:t>32</w:t>
        </w:r>
        <w:r>
          <w:rPr>
            <w:noProof/>
            <w:webHidden/>
          </w:rPr>
          <w:fldChar w:fldCharType="end"/>
        </w:r>
      </w:hyperlink>
    </w:p>
    <w:p w14:paraId="73C83EAE" w14:textId="28345F48" w:rsidR="00DD6AE5" w:rsidRDefault="00DD6AE5">
      <w:pPr>
        <w:pStyle w:val="TOC1"/>
        <w:tabs>
          <w:tab w:val="left" w:pos="720"/>
          <w:tab w:val="right" w:leader="dot" w:pos="9016"/>
        </w:tabs>
        <w:rPr>
          <w:rFonts w:eastAsiaTheme="minorEastAsia" w:cstheme="minorBidi"/>
          <w:b w:val="0"/>
          <w:bCs w:val="0"/>
          <w:noProof/>
          <w:kern w:val="2"/>
          <w:sz w:val="24"/>
          <w:szCs w:val="24"/>
          <w:lang w:eastAsia="en-GB"/>
          <w14:ligatures w14:val="standardContextual"/>
        </w:rPr>
      </w:pPr>
      <w:hyperlink w:anchor="_Toc219900433" w:history="1">
        <w:r w:rsidRPr="008517E9">
          <w:rPr>
            <w:rStyle w:val="Hyperlink"/>
            <w:rFonts w:ascii="Times New Roman" w:hAnsi="Times New Roman" w:cs="Times New Roman"/>
            <w:noProof/>
          </w:rPr>
          <w:t>15.</w:t>
        </w:r>
        <w:r>
          <w:rPr>
            <w:rFonts w:eastAsiaTheme="minorEastAsia" w:cstheme="minorBidi"/>
            <w:b w:val="0"/>
            <w:bCs w:val="0"/>
            <w:noProof/>
            <w:kern w:val="2"/>
            <w:sz w:val="24"/>
            <w:szCs w:val="24"/>
            <w:lang w:eastAsia="en-GB"/>
            <w14:ligatures w14:val="standardContextual"/>
          </w:rPr>
          <w:tab/>
        </w:r>
        <w:r w:rsidRPr="008517E9">
          <w:rPr>
            <w:rStyle w:val="Hyperlink"/>
            <w:noProof/>
          </w:rPr>
          <w:t>Migration from a Legacy Gateway Connection to a DCC Connect Gateway Connection</w:t>
        </w:r>
        <w:r>
          <w:rPr>
            <w:noProof/>
            <w:webHidden/>
          </w:rPr>
          <w:tab/>
        </w:r>
        <w:r>
          <w:rPr>
            <w:noProof/>
            <w:webHidden/>
          </w:rPr>
          <w:fldChar w:fldCharType="begin"/>
        </w:r>
        <w:r>
          <w:rPr>
            <w:noProof/>
            <w:webHidden/>
          </w:rPr>
          <w:instrText xml:space="preserve"> PAGEREF _Toc219900433 \h </w:instrText>
        </w:r>
        <w:r>
          <w:rPr>
            <w:noProof/>
            <w:webHidden/>
          </w:rPr>
        </w:r>
        <w:r>
          <w:rPr>
            <w:noProof/>
            <w:webHidden/>
          </w:rPr>
          <w:fldChar w:fldCharType="separate"/>
        </w:r>
        <w:r>
          <w:rPr>
            <w:noProof/>
            <w:webHidden/>
          </w:rPr>
          <w:t>33</w:t>
        </w:r>
        <w:r>
          <w:rPr>
            <w:noProof/>
            <w:webHidden/>
          </w:rPr>
          <w:fldChar w:fldCharType="end"/>
        </w:r>
      </w:hyperlink>
    </w:p>
    <w:p w14:paraId="119963D3" w14:textId="6419A1BA" w:rsidR="00383420" w:rsidRDefault="00383420" w:rsidP="00BE3F4E">
      <w:pPr>
        <w:pStyle w:val="Heading1"/>
        <w:numPr>
          <w:ilvl w:val="0"/>
          <w:numId w:val="0"/>
        </w:numPr>
      </w:pPr>
      <w:r w:rsidRPr="00383420">
        <w:rPr>
          <w:rFonts w:ascii="Times New Roman" w:hAnsi="Times New Roman" w:cs="Times New Roman"/>
          <w:szCs w:val="24"/>
        </w:rPr>
        <w:fldChar w:fldCharType="end"/>
      </w:r>
    </w:p>
    <w:p w14:paraId="21838064" w14:textId="77777777" w:rsidR="00383420" w:rsidRDefault="00383420">
      <w:pPr>
        <w:jc w:val="left"/>
        <w:rPr>
          <w:rFonts w:ascii="Times New Roman Bold" w:hAnsi="Times New Roman Bold" w:cs="Arial"/>
          <w:b/>
          <w:bCs/>
          <w:kern w:val="32"/>
          <w:szCs w:val="32"/>
          <w:u w:val="single"/>
        </w:rPr>
      </w:pPr>
      <w:r>
        <w:br w:type="page"/>
      </w:r>
    </w:p>
    <w:p w14:paraId="115A8330" w14:textId="46784D68" w:rsidR="00801D98" w:rsidRDefault="00B74FA3">
      <w:pPr>
        <w:pStyle w:val="Heading1"/>
      </w:pPr>
      <w:bookmarkStart w:id="0" w:name="_Toc219897030"/>
      <w:bookmarkStart w:id="1" w:name="_Toc219900419"/>
      <w:r>
        <w:lastRenderedPageBreak/>
        <w:t>Introduction and General Obligations</w:t>
      </w:r>
      <w:bookmarkEnd w:id="0"/>
      <w:bookmarkEnd w:id="1"/>
    </w:p>
    <w:p w14:paraId="58677252" w14:textId="14E36721" w:rsidR="00801D98" w:rsidRDefault="00B74FA3">
      <w:pPr>
        <w:pStyle w:val="Heading2"/>
      </w:pPr>
      <w:bookmarkStart w:id="2" w:name="_Toc219897031"/>
      <w:r>
        <w:t>This Appendix is the Network Evolution Transition and Migration Approach Document (NETMAD) developed by the DCC pursuant to Section F13 (Network Evolution Transition and Migration Approach Document) of the Code.</w:t>
      </w:r>
      <w:bookmarkEnd w:id="2"/>
    </w:p>
    <w:p w14:paraId="1399A23D" w14:textId="77777777" w:rsidR="00801D98" w:rsidRDefault="00B74FA3">
      <w:pPr>
        <w:pStyle w:val="Heading2"/>
      </w:pPr>
      <w:bookmarkStart w:id="3" w:name="_Toc219897032"/>
      <w:r>
        <w:t>Where directed to do so by the Secretary of State from time to time, the DCC shall develop and consult upon a further draft or drafts of this NETMAD in accordance with Section F13.5 of the Code, and the DCC shall submit such further draft(s) to the Secretary of State in accordance with the process set out in Section F13.4 of the Code.</w:t>
      </w:r>
      <w:bookmarkEnd w:id="3"/>
    </w:p>
    <w:p w14:paraId="07F1A799" w14:textId="1D2280B0" w:rsidR="00801D98" w:rsidRDefault="00B74FA3">
      <w:pPr>
        <w:pStyle w:val="Heading2"/>
      </w:pPr>
      <w:bookmarkStart w:id="4" w:name="_Toc219897033"/>
      <w:r>
        <w:t xml:space="preserve">For the purposes of Section F13.8 (Expiry of the Network Evolution Transition and Migration Approach Document), this NETMAD will cease to apply on </w:t>
      </w:r>
      <w:r w:rsidR="009459F8">
        <w:t>31 December 2028</w:t>
      </w:r>
      <w:r>
        <w:t xml:space="preserve"> (or any such later date as the Secretary of State may direct following a consultation on a proposed alternative with the Parties and the Panel) and shall no longer have any effect from such date (but without prejudice to the rights and obligations arising prior to that date).</w:t>
      </w:r>
      <w:bookmarkEnd w:id="4"/>
    </w:p>
    <w:p w14:paraId="5CB75D37" w14:textId="6D42419E" w:rsidR="00801D98" w:rsidRDefault="00B74FA3">
      <w:pPr>
        <w:pStyle w:val="Heading1"/>
      </w:pPr>
      <w:bookmarkStart w:id="5" w:name="_Toc219897034"/>
      <w:bookmarkStart w:id="6" w:name="_Toc219900420"/>
      <w:r>
        <w:t>Defined Terms and Interpretation for the purpose of the NETMAD</w:t>
      </w:r>
      <w:bookmarkEnd w:id="5"/>
      <w:bookmarkEnd w:id="6"/>
    </w:p>
    <w:p w14:paraId="017FEF82" w14:textId="6ABA6FBB" w:rsidR="00801D98" w:rsidRDefault="00B74FA3">
      <w:pPr>
        <w:pStyle w:val="Heading2"/>
        <w:rPr>
          <w:b/>
        </w:rPr>
      </w:pPr>
      <w:bookmarkStart w:id="7" w:name="_Toc219897035"/>
      <w:r>
        <w:t>The following definitions shall apply in the NETMAD</w:t>
      </w:r>
      <w:r w:rsidR="00601799">
        <w:t>,</w:t>
      </w:r>
      <w:r w:rsidR="00601799" w:rsidRPr="00601799">
        <w:t xml:space="preserve"> except that any term defined in Annex 1 (SEC Section A) to this NETMAD shall have the meaning given in that Annex 1 (SEC Section A) for the purposes of Annexes 2-5 of this NETMAD. Where a term is defined in both Section A (Definitions and Interpretations) and this NETMAD, the definition in this NETMAD shall prevail for the purposes of this NETMAD.</w:t>
      </w:r>
      <w:bookmarkEnd w:id="7"/>
      <w:r>
        <w:t xml:space="preserve"> </w:t>
      </w:r>
    </w:p>
    <w:tbl>
      <w:tblPr>
        <w:tblStyle w:val="TableGrid"/>
        <w:tblW w:w="0" w:type="auto"/>
        <w:tblInd w:w="709" w:type="dxa"/>
        <w:tblLook w:val="04A0" w:firstRow="1" w:lastRow="0" w:firstColumn="1" w:lastColumn="0" w:noHBand="0" w:noVBand="1"/>
      </w:tblPr>
      <w:tblGrid>
        <w:gridCol w:w="2639"/>
        <w:gridCol w:w="5668"/>
      </w:tblGrid>
      <w:tr w:rsidR="00BE073C" w14:paraId="70D422F1" w14:textId="77777777" w:rsidTr="259B84B3">
        <w:trPr>
          <w:cantSplit/>
          <w:tblHeader/>
        </w:trPr>
        <w:tc>
          <w:tcPr>
            <w:tcW w:w="0" w:type="auto"/>
          </w:tcPr>
          <w:p w14:paraId="2414109D" w14:textId="0E66DA93" w:rsidR="00801D98" w:rsidRDefault="00B74FA3">
            <w:pPr>
              <w:pStyle w:val="Body2"/>
              <w:spacing w:after="240" w:line="240" w:lineRule="auto"/>
              <w:ind w:left="0"/>
              <w:rPr>
                <w:rFonts w:ascii="Arial" w:hAnsi="Arial" w:cs="Arial"/>
                <w:b/>
                <w:sz w:val="20"/>
                <w:szCs w:val="20"/>
              </w:rPr>
            </w:pPr>
            <w:r>
              <w:rPr>
                <w:rFonts w:ascii="Arial" w:hAnsi="Arial" w:cs="Arial"/>
                <w:b/>
                <w:sz w:val="20"/>
                <w:szCs w:val="20"/>
              </w:rPr>
              <w:t>Term</w:t>
            </w:r>
          </w:p>
        </w:tc>
        <w:tc>
          <w:tcPr>
            <w:tcW w:w="0" w:type="auto"/>
          </w:tcPr>
          <w:p w14:paraId="30CE2E54" w14:textId="77777777" w:rsidR="00801D98" w:rsidRDefault="00B74FA3">
            <w:pPr>
              <w:pStyle w:val="Body2"/>
              <w:spacing w:after="240" w:line="240" w:lineRule="auto"/>
              <w:ind w:left="0"/>
              <w:rPr>
                <w:rFonts w:ascii="Arial" w:hAnsi="Arial" w:cs="Arial"/>
                <w:b/>
                <w:sz w:val="20"/>
                <w:szCs w:val="20"/>
              </w:rPr>
            </w:pPr>
            <w:r>
              <w:rPr>
                <w:rFonts w:ascii="Arial" w:hAnsi="Arial" w:cs="Arial"/>
                <w:b/>
                <w:sz w:val="20"/>
                <w:szCs w:val="20"/>
              </w:rPr>
              <w:t>Meaning</w:t>
            </w:r>
          </w:p>
        </w:tc>
      </w:tr>
      <w:tr w:rsidR="003607CE" w14:paraId="07C35E99" w14:textId="77777777" w:rsidTr="259B84B3">
        <w:trPr>
          <w:cantSplit/>
        </w:trPr>
        <w:tc>
          <w:tcPr>
            <w:tcW w:w="0" w:type="auto"/>
          </w:tcPr>
          <w:p w14:paraId="5BAD9675" w14:textId="0ACADE70" w:rsidR="003607CE" w:rsidRDefault="00BA3D03">
            <w:pPr>
              <w:pStyle w:val="Body2"/>
              <w:spacing w:after="240" w:line="240" w:lineRule="auto"/>
              <w:ind w:left="0"/>
              <w:jc w:val="left"/>
              <w:rPr>
                <w:b/>
                <w:bCs/>
              </w:rPr>
            </w:pPr>
            <w:r w:rsidRPr="259B84B3">
              <w:rPr>
                <w:b/>
                <w:bCs/>
              </w:rPr>
              <w:t>4G Central/South</w:t>
            </w:r>
          </w:p>
        </w:tc>
        <w:tc>
          <w:tcPr>
            <w:tcW w:w="0" w:type="auto"/>
          </w:tcPr>
          <w:p w14:paraId="2D71F4A6" w14:textId="3CCB87D1" w:rsidR="003607CE" w:rsidRDefault="00F342A5" w:rsidP="00F342A5">
            <w:pPr>
              <w:pStyle w:val="Body2"/>
              <w:spacing w:after="240" w:line="240" w:lineRule="auto"/>
              <w:ind w:left="0"/>
            </w:pPr>
            <w:r>
              <w:t xml:space="preserve">is a </w:t>
            </w:r>
            <w:proofErr w:type="gramStart"/>
            <w:r>
              <w:t>Region, and</w:t>
            </w:r>
            <w:proofErr w:type="gramEnd"/>
            <w:r>
              <w:t xml:space="preserve"> refers to the Geographical Regions covering central Great Britain and the south of Great Britain and the use of 4G mobile communications technology in those Geographical Regions.</w:t>
            </w:r>
          </w:p>
        </w:tc>
      </w:tr>
      <w:tr w:rsidR="003607CE" w14:paraId="27A0A661" w14:textId="77777777" w:rsidTr="259B84B3">
        <w:trPr>
          <w:cantSplit/>
        </w:trPr>
        <w:tc>
          <w:tcPr>
            <w:tcW w:w="0" w:type="auto"/>
          </w:tcPr>
          <w:p w14:paraId="7BA433DC" w14:textId="5E21389F" w:rsidR="003607CE" w:rsidRDefault="003607CE" w:rsidP="003607CE">
            <w:pPr>
              <w:pStyle w:val="Body2"/>
              <w:spacing w:after="240" w:line="240" w:lineRule="auto"/>
              <w:ind w:left="0"/>
              <w:jc w:val="left"/>
              <w:rPr>
                <w:b/>
                <w:bCs/>
              </w:rPr>
            </w:pPr>
            <w:r>
              <w:rPr>
                <w:b/>
                <w:bCs/>
              </w:rPr>
              <w:t>4G Communications Hub</w:t>
            </w:r>
          </w:p>
        </w:tc>
        <w:tc>
          <w:tcPr>
            <w:tcW w:w="0" w:type="auto"/>
          </w:tcPr>
          <w:p w14:paraId="65667B9A" w14:textId="3B861C14" w:rsidR="003607CE" w:rsidRDefault="003607CE" w:rsidP="003607CE">
            <w:pPr>
              <w:pStyle w:val="Body2"/>
              <w:spacing w:after="240" w:line="240" w:lineRule="auto"/>
              <w:ind w:left="0"/>
            </w:pPr>
            <w:r>
              <w:t>means a SMETS2+ Communications Hub that is designed to work with 4G mobile communications technology</w:t>
            </w:r>
          </w:p>
        </w:tc>
      </w:tr>
      <w:tr w:rsidR="003607CE" w14:paraId="2ABCD329" w14:textId="77777777" w:rsidTr="259B84B3">
        <w:trPr>
          <w:cantSplit/>
        </w:trPr>
        <w:tc>
          <w:tcPr>
            <w:tcW w:w="0" w:type="auto"/>
          </w:tcPr>
          <w:p w14:paraId="11A9938A" w14:textId="77777777" w:rsidR="003607CE" w:rsidRDefault="003607CE" w:rsidP="003607CE">
            <w:pPr>
              <w:pStyle w:val="Body2"/>
              <w:spacing w:after="240" w:line="240" w:lineRule="auto"/>
              <w:ind w:left="0"/>
              <w:jc w:val="left"/>
              <w:rPr>
                <w:b/>
                <w:bCs/>
              </w:rPr>
            </w:pPr>
            <w:r>
              <w:rPr>
                <w:b/>
                <w:bCs/>
              </w:rPr>
              <w:t>4G SM WAN</w:t>
            </w:r>
          </w:p>
        </w:tc>
        <w:tc>
          <w:tcPr>
            <w:tcW w:w="0" w:type="auto"/>
          </w:tcPr>
          <w:p w14:paraId="318DDF50" w14:textId="77777777" w:rsidR="003607CE" w:rsidRDefault="003607CE" w:rsidP="003607CE">
            <w:pPr>
              <w:pStyle w:val="Body2"/>
              <w:spacing w:after="240" w:line="240" w:lineRule="auto"/>
              <w:ind w:left="0"/>
            </w:pPr>
            <w:r>
              <w:t>means that part of the SM WAN that will utilise 4G mobile communications technology.</w:t>
            </w:r>
          </w:p>
        </w:tc>
      </w:tr>
      <w:tr w:rsidR="00295A9F" w14:paraId="3627EC17" w14:textId="77777777" w:rsidTr="259B84B3">
        <w:trPr>
          <w:cantSplit/>
        </w:trPr>
        <w:tc>
          <w:tcPr>
            <w:tcW w:w="0" w:type="auto"/>
          </w:tcPr>
          <w:p w14:paraId="45A77C01" w14:textId="0A5C0A36" w:rsidR="00295A9F" w:rsidRDefault="00295A9F" w:rsidP="00295A9F">
            <w:pPr>
              <w:pStyle w:val="Body2"/>
              <w:spacing w:after="240" w:line="240" w:lineRule="auto"/>
              <w:ind w:left="0"/>
              <w:jc w:val="left"/>
              <w:rPr>
                <w:b/>
                <w:bCs/>
              </w:rPr>
            </w:pPr>
            <w:r>
              <w:rPr>
                <w:b/>
                <w:bCs/>
              </w:rPr>
              <w:lastRenderedPageBreak/>
              <w:t>4G Test Communications Hub</w:t>
            </w:r>
          </w:p>
        </w:tc>
        <w:tc>
          <w:tcPr>
            <w:tcW w:w="0" w:type="auto"/>
          </w:tcPr>
          <w:p w14:paraId="454D00E3" w14:textId="08007676" w:rsidR="00295A9F" w:rsidRDefault="00295A9F" w:rsidP="00295A9F">
            <w:pPr>
              <w:pStyle w:val="Body2"/>
              <w:spacing w:after="240" w:line="240" w:lineRule="auto"/>
              <w:ind w:left="0"/>
            </w:pPr>
            <w:r>
              <w:t>means a device that is equivalent to a 4G Communications Hub but which contains such variations in functionality as the DCC reasonably considers appropriate to enable the device to be used for the purposes of testing, which device is provided (or to be provided) for the purpose of testing as described in Section F10 (SMETS2+ Test Communications Hubs).</w:t>
            </w:r>
          </w:p>
        </w:tc>
      </w:tr>
      <w:tr w:rsidR="003607CE" w14:paraId="27F9FE42" w14:textId="77777777" w:rsidTr="259B84B3">
        <w:trPr>
          <w:cantSplit/>
        </w:trPr>
        <w:tc>
          <w:tcPr>
            <w:tcW w:w="0" w:type="auto"/>
          </w:tcPr>
          <w:p w14:paraId="16F3D380" w14:textId="535EBB79" w:rsidR="003607CE" w:rsidRDefault="003607CE" w:rsidP="003607CE">
            <w:pPr>
              <w:pStyle w:val="Body2"/>
              <w:spacing w:after="240" w:line="240" w:lineRule="auto"/>
              <w:ind w:left="0"/>
              <w:jc w:val="left"/>
              <w:rPr>
                <w:b/>
                <w:bCs/>
              </w:rPr>
            </w:pPr>
            <w:r w:rsidRPr="00663ED5">
              <w:rPr>
                <w:b/>
                <w:bCs/>
              </w:rPr>
              <w:t>Active Mesh Gateway Communications Hub</w:t>
            </w:r>
          </w:p>
        </w:tc>
        <w:tc>
          <w:tcPr>
            <w:tcW w:w="0" w:type="auto"/>
          </w:tcPr>
          <w:p w14:paraId="2305938B" w14:textId="18217F9C" w:rsidR="003607CE" w:rsidRDefault="003607CE" w:rsidP="003607CE">
            <w:pPr>
              <w:pStyle w:val="Body2"/>
              <w:spacing w:after="240" w:line="240" w:lineRule="auto"/>
              <w:ind w:left="0"/>
            </w:pPr>
            <w:r>
              <w:t xml:space="preserve">means </w:t>
            </w:r>
            <w:r w:rsidRPr="00430F8C">
              <w:t xml:space="preserve">a Mesh Communications Hub that is within range of mobile cellular radio </w:t>
            </w:r>
            <w:proofErr w:type="gramStart"/>
            <w:r w:rsidRPr="00430F8C">
              <w:t>technology</w:t>
            </w:r>
            <w:proofErr w:type="gramEnd"/>
            <w:r w:rsidRPr="00430F8C">
              <w:t xml:space="preserve"> and which connects to one or more other Mesh Communications Hubs that are outside the range of mobile cellular radio technology via wireless mesh radio technology for the purpose of connecting those Mesh Communications Hubs to the SM WAN</w:t>
            </w:r>
            <w:r>
              <w:t>.</w:t>
            </w:r>
          </w:p>
        </w:tc>
      </w:tr>
      <w:tr w:rsidR="003607CE" w14:paraId="35716FD3" w14:textId="77777777" w:rsidTr="259B84B3">
        <w:trPr>
          <w:cantSplit/>
        </w:trPr>
        <w:tc>
          <w:tcPr>
            <w:tcW w:w="0" w:type="auto"/>
          </w:tcPr>
          <w:p w14:paraId="15700906" w14:textId="0FE73408" w:rsidR="003607CE" w:rsidRDefault="003607CE" w:rsidP="003607CE">
            <w:pPr>
              <w:pStyle w:val="Body2"/>
              <w:spacing w:after="240" w:line="240" w:lineRule="auto"/>
              <w:ind w:left="0"/>
              <w:jc w:val="left"/>
              <w:rPr>
                <w:b/>
                <w:bCs/>
              </w:rPr>
            </w:pPr>
            <w:r w:rsidRPr="001822BD">
              <w:rPr>
                <w:b/>
                <w:bCs/>
              </w:rPr>
              <w:t>Active Mesh Hop Communications Hub</w:t>
            </w:r>
          </w:p>
        </w:tc>
        <w:tc>
          <w:tcPr>
            <w:tcW w:w="0" w:type="auto"/>
          </w:tcPr>
          <w:p w14:paraId="0616D837" w14:textId="33C3DF37" w:rsidR="003607CE" w:rsidRDefault="003607CE" w:rsidP="003607CE">
            <w:pPr>
              <w:pStyle w:val="Body2"/>
              <w:spacing w:after="240" w:line="240" w:lineRule="auto"/>
              <w:ind w:left="0"/>
            </w:pPr>
            <w:r>
              <w:t xml:space="preserve">means </w:t>
            </w:r>
            <w:r w:rsidRPr="000E2BB5">
              <w:t xml:space="preserve">a Mesh Communications Hub that is outside range of mobile cellular radio </w:t>
            </w:r>
            <w:proofErr w:type="gramStart"/>
            <w:r w:rsidRPr="000E2BB5">
              <w:t>technology</w:t>
            </w:r>
            <w:proofErr w:type="gramEnd"/>
            <w:r w:rsidRPr="000E2BB5">
              <w:t xml:space="preserve"> and which connects to one or more other Mesh Communications Hubs that are also outside the range of mobile cellular radio technology via wireless mesh radio technology for the purpose of connecting those Mesh Communications Hubs to the SM WAN</w:t>
            </w:r>
            <w:r>
              <w:t>.</w:t>
            </w:r>
          </w:p>
        </w:tc>
      </w:tr>
      <w:tr w:rsidR="006E50C9" w14:paraId="5FD909D2" w14:textId="77777777" w:rsidTr="259B84B3">
        <w:trPr>
          <w:cantSplit/>
        </w:trPr>
        <w:tc>
          <w:tcPr>
            <w:tcW w:w="0" w:type="auto"/>
          </w:tcPr>
          <w:p w14:paraId="32B5ACA8" w14:textId="2F58B875" w:rsidR="006E50C9" w:rsidRDefault="006E50C9" w:rsidP="006E50C9">
            <w:pPr>
              <w:pStyle w:val="Body2"/>
              <w:spacing w:after="240" w:line="240" w:lineRule="auto"/>
              <w:ind w:left="0"/>
              <w:jc w:val="left"/>
              <w:rPr>
                <w:b/>
                <w:bCs/>
              </w:rPr>
            </w:pPr>
            <w:r>
              <w:rPr>
                <w:b/>
                <w:bCs/>
              </w:rPr>
              <w:t>Additional User Testing for FSM</w:t>
            </w:r>
          </w:p>
        </w:tc>
        <w:tc>
          <w:tcPr>
            <w:tcW w:w="0" w:type="auto"/>
          </w:tcPr>
          <w:p w14:paraId="7EAD77C7" w14:textId="6811231A" w:rsidR="006E50C9" w:rsidRDefault="006E50C9" w:rsidP="006E50C9">
            <w:pPr>
              <w:pStyle w:val="Body2"/>
              <w:spacing w:after="240" w:line="240" w:lineRule="auto"/>
              <w:ind w:left="0"/>
            </w:pPr>
            <w:r>
              <w:t>means the additional testing set out in Clause 11.18 that a User must undertake prior to being eligible to access the FSM Platform.</w:t>
            </w:r>
          </w:p>
        </w:tc>
      </w:tr>
      <w:tr w:rsidR="00E1457C" w14:paraId="26605C12" w14:textId="77777777" w:rsidTr="259B84B3">
        <w:trPr>
          <w:cantSplit/>
        </w:trPr>
        <w:tc>
          <w:tcPr>
            <w:tcW w:w="0" w:type="auto"/>
          </w:tcPr>
          <w:p w14:paraId="2C8EE637" w14:textId="015CF8D9" w:rsidR="00E1457C" w:rsidRDefault="00E1457C" w:rsidP="00E1457C">
            <w:pPr>
              <w:pStyle w:val="Body2"/>
              <w:spacing w:after="240" w:line="240" w:lineRule="auto"/>
              <w:ind w:left="0"/>
              <w:jc w:val="left"/>
              <w:rPr>
                <w:b/>
                <w:bCs/>
              </w:rPr>
            </w:pPr>
            <w:r>
              <w:rPr>
                <w:b/>
                <w:color w:val="000000"/>
              </w:rPr>
              <w:t>Backstop Date</w:t>
            </w:r>
          </w:p>
        </w:tc>
        <w:tc>
          <w:tcPr>
            <w:tcW w:w="0" w:type="auto"/>
          </w:tcPr>
          <w:p w14:paraId="012292A4" w14:textId="2EEA2AE0" w:rsidR="00E1457C" w:rsidRDefault="00E1457C" w:rsidP="00E1457C">
            <w:pPr>
              <w:pStyle w:val="Body2"/>
              <w:spacing w:after="240" w:line="240" w:lineRule="auto"/>
              <w:ind w:left="0"/>
            </w:pPr>
            <w:r>
              <w:rPr>
                <w:color w:val="000000"/>
              </w:rPr>
              <w:t>means 30 March 2027 or the date of the ‘DCC Connect – Service User Cut</w:t>
            </w:r>
            <w:r w:rsidR="000703E9">
              <w:rPr>
                <w:color w:val="000000"/>
              </w:rPr>
              <w:t>-</w:t>
            </w:r>
            <w:r>
              <w:rPr>
                <w:color w:val="000000"/>
              </w:rPr>
              <w:t>over Window Closes’ milestone in the Joint Industry Plan, whichever is later.</w:t>
            </w:r>
          </w:p>
        </w:tc>
      </w:tr>
      <w:tr w:rsidR="00E1457C" w14:paraId="7AAAC2DC" w14:textId="77777777" w:rsidTr="259B84B3">
        <w:trPr>
          <w:cantSplit/>
        </w:trPr>
        <w:tc>
          <w:tcPr>
            <w:tcW w:w="0" w:type="auto"/>
          </w:tcPr>
          <w:p w14:paraId="28FD903B" w14:textId="77777777" w:rsidR="00E1457C" w:rsidRDefault="00E1457C" w:rsidP="00E1457C">
            <w:pPr>
              <w:pStyle w:val="Body2"/>
              <w:spacing w:after="240" w:line="240" w:lineRule="auto"/>
              <w:ind w:left="0"/>
              <w:jc w:val="left"/>
              <w:rPr>
                <w:b/>
                <w:bCs/>
              </w:rPr>
            </w:pPr>
            <w:r>
              <w:rPr>
                <w:b/>
                <w:bCs/>
              </w:rPr>
              <w:t>Carton</w:t>
            </w:r>
          </w:p>
        </w:tc>
        <w:tc>
          <w:tcPr>
            <w:tcW w:w="0" w:type="auto"/>
          </w:tcPr>
          <w:p w14:paraId="2292F416" w14:textId="77777777" w:rsidR="00E1457C" w:rsidRDefault="00E1457C" w:rsidP="00E1457C">
            <w:pPr>
              <w:pStyle w:val="Body2"/>
              <w:spacing w:after="240" w:line="240" w:lineRule="auto"/>
              <w:ind w:left="0"/>
            </w:pPr>
            <w:r>
              <w:t>means a package of 14 4G Communication Hubs in a cardboard box.</w:t>
            </w:r>
          </w:p>
        </w:tc>
      </w:tr>
      <w:tr w:rsidR="00E1457C" w14:paraId="24DAEB11" w14:textId="77777777" w:rsidTr="259B84B3">
        <w:trPr>
          <w:cantSplit/>
        </w:trPr>
        <w:tc>
          <w:tcPr>
            <w:tcW w:w="0" w:type="auto"/>
          </w:tcPr>
          <w:p w14:paraId="6C43BFBE" w14:textId="13ACF916" w:rsidR="00E1457C" w:rsidRDefault="00E1457C" w:rsidP="00E1457C">
            <w:pPr>
              <w:pStyle w:val="Body2"/>
              <w:spacing w:after="240" w:line="240" w:lineRule="auto"/>
              <w:ind w:left="0"/>
              <w:jc w:val="left"/>
              <w:rPr>
                <w:b/>
                <w:bCs/>
              </w:rPr>
            </w:pPr>
            <w:r>
              <w:rPr>
                <w:b/>
                <w:bCs/>
              </w:rPr>
              <w:t>Communications Technology</w:t>
            </w:r>
          </w:p>
        </w:tc>
        <w:tc>
          <w:tcPr>
            <w:tcW w:w="0" w:type="auto"/>
          </w:tcPr>
          <w:p w14:paraId="7E1FCBD0" w14:textId="0DFB1A06" w:rsidR="00E1457C" w:rsidRDefault="00E1457C" w:rsidP="00E1457C">
            <w:pPr>
              <w:pStyle w:val="Body2"/>
              <w:spacing w:after="240" w:line="240" w:lineRule="auto"/>
              <w:ind w:left="0"/>
            </w:pPr>
            <w:r>
              <w:t xml:space="preserve">means each of the </w:t>
            </w:r>
            <w:proofErr w:type="gramStart"/>
            <w:r>
              <w:t>telecommunications</w:t>
            </w:r>
            <w:proofErr w:type="gramEnd"/>
            <w:r>
              <w:t xml:space="preserve"> technologies used to provide all or part of the SM WAN, including each of the following: (a) long-range radio; (b) 2G and/or 3G mobile communications technology; and (c) 4G mobile communications technology.</w:t>
            </w:r>
          </w:p>
        </w:tc>
      </w:tr>
      <w:tr w:rsidR="00E1457C" w14:paraId="4D0A51C6" w14:textId="77777777" w:rsidTr="259B84B3">
        <w:trPr>
          <w:cantSplit/>
        </w:trPr>
        <w:tc>
          <w:tcPr>
            <w:tcW w:w="0" w:type="auto"/>
          </w:tcPr>
          <w:p w14:paraId="04026E15" w14:textId="77777777" w:rsidR="00E1457C" w:rsidRDefault="00E1457C" w:rsidP="00E1457C">
            <w:pPr>
              <w:pStyle w:val="Body2"/>
              <w:spacing w:after="240" w:line="240" w:lineRule="auto"/>
              <w:ind w:left="0"/>
              <w:jc w:val="left"/>
              <w:rPr>
                <w:b/>
                <w:bCs/>
              </w:rPr>
            </w:pPr>
            <w:r>
              <w:rPr>
                <w:b/>
                <w:bCs/>
              </w:rPr>
              <w:t>Completion Report</w:t>
            </w:r>
          </w:p>
        </w:tc>
        <w:tc>
          <w:tcPr>
            <w:tcW w:w="0" w:type="auto"/>
          </w:tcPr>
          <w:p w14:paraId="6C45CE5A" w14:textId="25A33663" w:rsidR="00E1457C" w:rsidRDefault="00E1457C" w:rsidP="00E1457C">
            <w:pPr>
              <w:pStyle w:val="Body2"/>
              <w:spacing w:after="240" w:line="240" w:lineRule="auto"/>
              <w:ind w:left="0"/>
            </w:pPr>
            <w:r>
              <w:t>means the completion report for Initial Pallet Validation to be completed pursuant to Clauses 4.9 – 4.14 of this NETMAD.</w:t>
            </w:r>
          </w:p>
        </w:tc>
      </w:tr>
      <w:tr w:rsidR="00E04B46" w14:paraId="2E7B072E" w14:textId="77777777" w:rsidTr="259B84B3">
        <w:trPr>
          <w:cantSplit/>
        </w:trPr>
        <w:tc>
          <w:tcPr>
            <w:tcW w:w="0" w:type="auto"/>
          </w:tcPr>
          <w:p w14:paraId="5CDB0BC9" w14:textId="3B56701B" w:rsidR="00E04B46" w:rsidRDefault="00E04B46" w:rsidP="00E04B46">
            <w:pPr>
              <w:pStyle w:val="Body2"/>
              <w:spacing w:after="240" w:line="240" w:lineRule="auto"/>
              <w:ind w:left="0"/>
              <w:jc w:val="left"/>
              <w:rPr>
                <w:b/>
                <w:bCs/>
              </w:rPr>
            </w:pPr>
            <w:r w:rsidRPr="6FD0C854">
              <w:rPr>
                <w:b/>
                <w:bCs/>
                <w:color w:val="000000" w:themeColor="text1"/>
              </w:rPr>
              <w:t>DCC Connect Gateway Connection</w:t>
            </w:r>
          </w:p>
        </w:tc>
        <w:tc>
          <w:tcPr>
            <w:tcW w:w="0" w:type="auto"/>
          </w:tcPr>
          <w:p w14:paraId="5A5FF65C" w14:textId="7E179E30" w:rsidR="00E04B46" w:rsidRDefault="00E04B46" w:rsidP="00E04B46">
            <w:pPr>
              <w:pStyle w:val="Body2"/>
              <w:spacing w:after="240" w:line="240" w:lineRule="auto"/>
              <w:ind w:left="0"/>
            </w:pPr>
            <w:r w:rsidRPr="0014110B">
              <w:rPr>
                <w:color w:val="000000"/>
                <w:spacing w:val="-2"/>
              </w:rPr>
              <w:t>means a DCC Gateway Connection that is provided using the secure communications network supported by Vodafone acting as a DCC Service Provider.</w:t>
            </w:r>
          </w:p>
        </w:tc>
      </w:tr>
      <w:tr w:rsidR="00E04B46" w14:paraId="0412597D" w14:textId="77777777" w:rsidTr="259B84B3">
        <w:trPr>
          <w:cantSplit/>
        </w:trPr>
        <w:tc>
          <w:tcPr>
            <w:tcW w:w="0" w:type="auto"/>
          </w:tcPr>
          <w:p w14:paraId="62AC6651" w14:textId="6B1C843B" w:rsidR="00E04B46" w:rsidRDefault="00E04B46" w:rsidP="00E04B46">
            <w:pPr>
              <w:pStyle w:val="Body2"/>
              <w:spacing w:after="240" w:line="240" w:lineRule="auto"/>
              <w:ind w:left="0"/>
              <w:jc w:val="left"/>
              <w:rPr>
                <w:b/>
                <w:bCs/>
              </w:rPr>
            </w:pPr>
            <w:r w:rsidRPr="0014110B">
              <w:rPr>
                <w:b/>
                <w:color w:val="000000"/>
              </w:rPr>
              <w:lastRenderedPageBreak/>
              <w:t>DCC Gateway Connection</w:t>
            </w:r>
          </w:p>
        </w:tc>
        <w:tc>
          <w:tcPr>
            <w:tcW w:w="0" w:type="auto"/>
          </w:tcPr>
          <w:p w14:paraId="4009C1BF" w14:textId="77777777" w:rsidR="00E04B46" w:rsidRPr="0014110B" w:rsidRDefault="00E04B46" w:rsidP="00E04B46">
            <w:pPr>
              <w:spacing w:line="276" w:lineRule="exact"/>
              <w:ind w:left="108" w:right="108"/>
              <w:textAlignment w:val="baseline"/>
              <w:rPr>
                <w:color w:val="000000"/>
                <w:spacing w:val="-2"/>
              </w:rPr>
            </w:pPr>
            <w:r w:rsidRPr="0014110B">
              <w:rPr>
                <w:color w:val="000000"/>
                <w:spacing w:val="-2"/>
              </w:rPr>
              <w:t>means:</w:t>
            </w:r>
          </w:p>
          <w:p w14:paraId="515A8F08" w14:textId="77777777" w:rsidR="00E04B46" w:rsidRPr="0014110B" w:rsidRDefault="00E04B46" w:rsidP="00E04B46">
            <w:pPr>
              <w:spacing w:line="276" w:lineRule="exact"/>
              <w:ind w:left="108" w:right="108"/>
              <w:textAlignment w:val="baseline"/>
              <w:rPr>
                <w:color w:val="000000"/>
                <w:spacing w:val="-2"/>
              </w:rPr>
            </w:pPr>
            <w:r w:rsidRPr="0014110B">
              <w:rPr>
                <w:color w:val="000000"/>
                <w:spacing w:val="-2"/>
              </w:rPr>
              <w:t xml:space="preserve">(a) in respect of each DCC Gateway Party which has elected under </w:t>
            </w:r>
            <w:r>
              <w:rPr>
                <w:color w:val="000000"/>
                <w:spacing w:val="-2"/>
              </w:rPr>
              <w:t>Clause 15 of this NETMAD</w:t>
            </w:r>
            <w:r w:rsidRPr="0014110B">
              <w:rPr>
                <w:color w:val="000000"/>
                <w:spacing w:val="-2"/>
              </w:rPr>
              <w:t xml:space="preserve"> </w:t>
            </w:r>
            <w:r>
              <w:rPr>
                <w:color w:val="000000"/>
                <w:spacing w:val="-2"/>
              </w:rPr>
              <w:t xml:space="preserve">or Annexes 2 or 3 to this NETMAD </w:t>
            </w:r>
            <w:r w:rsidRPr="0014110B">
              <w:rPr>
                <w:color w:val="000000"/>
                <w:spacing w:val="-2"/>
              </w:rPr>
              <w:t>to utilise a DCC Gateway HV Cloud Connection,</w:t>
            </w:r>
            <w:r>
              <w:rPr>
                <w:color w:val="000000"/>
                <w:spacing w:val="-2"/>
              </w:rPr>
              <w:t xml:space="preserve"> </w:t>
            </w:r>
            <w:r w:rsidRPr="00766B8D">
              <w:rPr>
                <w:color w:val="000000"/>
                <w:spacing w:val="-2"/>
              </w:rPr>
              <w:t>that DCC Gateway HV Cloud Connection</w:t>
            </w:r>
            <w:proofErr w:type="gramStart"/>
            <w:r w:rsidRPr="00766B8D">
              <w:rPr>
                <w:color w:val="000000"/>
                <w:spacing w:val="-2"/>
              </w:rPr>
              <w:t xml:space="preserve">   (</w:t>
            </w:r>
            <w:proofErr w:type="gramEnd"/>
            <w:r w:rsidRPr="00766B8D">
              <w:rPr>
                <w:color w:val="000000"/>
                <w:spacing w:val="-2"/>
              </w:rPr>
              <w:t>and each such DCC Gateway HV Cloud Connection and any DCC provided software for any such connection shall form part of the DCC Systems</w:t>
            </w:r>
            <w:r>
              <w:rPr>
                <w:color w:val="000000"/>
                <w:spacing w:val="-2"/>
              </w:rPr>
              <w:t>)</w:t>
            </w:r>
            <w:r w:rsidRPr="0014110B">
              <w:rPr>
                <w:color w:val="000000"/>
                <w:spacing w:val="-2"/>
              </w:rPr>
              <w:t>; or</w:t>
            </w:r>
          </w:p>
          <w:p w14:paraId="0ADE0FD7" w14:textId="1A2E0D29" w:rsidR="00E04B46" w:rsidRDefault="00E04B46" w:rsidP="0009073E">
            <w:pPr>
              <w:spacing w:line="276" w:lineRule="exact"/>
              <w:ind w:left="108" w:right="108"/>
              <w:textAlignment w:val="baseline"/>
            </w:pPr>
            <w:r w:rsidRPr="0014110B">
              <w:rPr>
                <w:color w:val="000000"/>
                <w:spacing w:val="-2"/>
              </w:rPr>
              <w:t>(b) in all other cases, the physical infrastructure by which a connection is (or is to be) made between a premises and the DCC Systems (and each such DCC Gateway Connection shall form part of the DCC Systems).</w:t>
            </w:r>
          </w:p>
        </w:tc>
      </w:tr>
      <w:tr w:rsidR="00E04B46" w14:paraId="2E4F8D83" w14:textId="77777777" w:rsidTr="259B84B3">
        <w:trPr>
          <w:cantSplit/>
        </w:trPr>
        <w:tc>
          <w:tcPr>
            <w:tcW w:w="0" w:type="auto"/>
          </w:tcPr>
          <w:p w14:paraId="5946FA7D" w14:textId="73BB9CE8" w:rsidR="00E04B46" w:rsidRDefault="00E04B46" w:rsidP="00E04B46">
            <w:pPr>
              <w:pStyle w:val="Body2"/>
              <w:spacing w:after="240" w:line="240" w:lineRule="auto"/>
              <w:ind w:left="0"/>
              <w:jc w:val="left"/>
              <w:rPr>
                <w:b/>
                <w:bCs/>
              </w:rPr>
            </w:pPr>
            <w:r w:rsidRPr="0014110B">
              <w:rPr>
                <w:b/>
                <w:color w:val="000000"/>
              </w:rPr>
              <w:t>DCC Gateway Connection Option</w:t>
            </w:r>
          </w:p>
        </w:tc>
        <w:tc>
          <w:tcPr>
            <w:tcW w:w="0" w:type="auto"/>
          </w:tcPr>
          <w:p w14:paraId="13047D82" w14:textId="7F7F6744" w:rsidR="00E04B46" w:rsidRDefault="00E04B46" w:rsidP="00E04B46">
            <w:pPr>
              <w:pStyle w:val="Body2"/>
              <w:spacing w:after="240" w:line="240" w:lineRule="auto"/>
              <w:ind w:left="0"/>
            </w:pPr>
            <w:r w:rsidRPr="0014110B">
              <w:rPr>
                <w:color w:val="000000"/>
                <w:spacing w:val="-2"/>
              </w:rPr>
              <w:t xml:space="preserve">means each of the DCC Gateway Connection Options as further described in </w:t>
            </w:r>
            <w:r>
              <w:rPr>
                <w:color w:val="000000"/>
                <w:spacing w:val="-2"/>
              </w:rPr>
              <w:t>table 2 of Annex 4 to this NETMAD</w:t>
            </w:r>
            <w:r w:rsidRPr="0014110B">
              <w:rPr>
                <w:color w:val="000000"/>
                <w:spacing w:val="-2"/>
              </w:rPr>
              <w:t>.</w:t>
            </w:r>
          </w:p>
        </w:tc>
      </w:tr>
      <w:tr w:rsidR="00E04B46" w14:paraId="75B2CF90" w14:textId="77777777" w:rsidTr="259B84B3">
        <w:trPr>
          <w:cantSplit/>
        </w:trPr>
        <w:tc>
          <w:tcPr>
            <w:tcW w:w="0" w:type="auto"/>
          </w:tcPr>
          <w:p w14:paraId="279F38BB" w14:textId="55A986A0" w:rsidR="00E04B46" w:rsidRDefault="00E04B46" w:rsidP="00E04B46">
            <w:pPr>
              <w:pStyle w:val="Body2"/>
              <w:spacing w:after="240" w:line="240" w:lineRule="auto"/>
              <w:ind w:left="0"/>
              <w:jc w:val="left"/>
              <w:rPr>
                <w:b/>
                <w:bCs/>
              </w:rPr>
            </w:pPr>
            <w:r>
              <w:rPr>
                <w:b/>
                <w:color w:val="000000"/>
              </w:rPr>
              <w:t>DCC Gateway Connection Type</w:t>
            </w:r>
          </w:p>
        </w:tc>
        <w:tc>
          <w:tcPr>
            <w:tcW w:w="0" w:type="auto"/>
          </w:tcPr>
          <w:p w14:paraId="225017EE" w14:textId="639E89C1" w:rsidR="00E04B46" w:rsidRDefault="00E04B46" w:rsidP="00E04B46">
            <w:pPr>
              <w:pStyle w:val="Body2"/>
              <w:spacing w:after="240" w:line="240" w:lineRule="auto"/>
              <w:ind w:left="0"/>
            </w:pPr>
            <w:r w:rsidRPr="24AA5040">
              <w:rPr>
                <w:color w:val="000000" w:themeColor="text1"/>
              </w:rPr>
              <w:t>means either a DCC Gateway HV Physical Connection, DCC Gateway HV Cloud Connection or a DCC Gateway LV Connection.</w:t>
            </w:r>
          </w:p>
        </w:tc>
      </w:tr>
      <w:tr w:rsidR="00E04B46" w14:paraId="77355146" w14:textId="77777777" w:rsidTr="259B84B3">
        <w:trPr>
          <w:cantSplit/>
        </w:trPr>
        <w:tc>
          <w:tcPr>
            <w:tcW w:w="0" w:type="auto"/>
          </w:tcPr>
          <w:p w14:paraId="3E249D61" w14:textId="5417A4F4" w:rsidR="00E04B46" w:rsidRDefault="00E04B46" w:rsidP="00E04B46">
            <w:pPr>
              <w:pStyle w:val="Body2"/>
              <w:spacing w:after="240" w:line="240" w:lineRule="auto"/>
              <w:ind w:left="0"/>
              <w:jc w:val="left"/>
              <w:rPr>
                <w:b/>
                <w:bCs/>
              </w:rPr>
            </w:pPr>
            <w:r>
              <w:rPr>
                <w:b/>
                <w:color w:val="000000"/>
              </w:rPr>
              <w:t>DCC Gateway Cut-over</w:t>
            </w:r>
          </w:p>
        </w:tc>
        <w:tc>
          <w:tcPr>
            <w:tcW w:w="0" w:type="auto"/>
          </w:tcPr>
          <w:p w14:paraId="1DB65706" w14:textId="2A1FF770" w:rsidR="00E04B46" w:rsidRDefault="00E04B46" w:rsidP="00E04B46">
            <w:pPr>
              <w:pStyle w:val="Body2"/>
              <w:spacing w:after="240" w:line="240" w:lineRule="auto"/>
              <w:ind w:left="0"/>
            </w:pPr>
            <w:r>
              <w:rPr>
                <w:color w:val="000000" w:themeColor="text1"/>
              </w:rPr>
              <w:t>m</w:t>
            </w:r>
            <w:r w:rsidRPr="62C51F6C">
              <w:rPr>
                <w:color w:val="000000" w:themeColor="text1"/>
              </w:rPr>
              <w:t xml:space="preserve">eans in relation to a Legacy Gateway Connection and the replacement DCC Connect Gateway Connection, the point in time at which the relevant DCC Gateway Connection Party ceases using that Legacy Gateway Connection for communications with the DCC and begins using the replacement DCC Connect Gateway Connection for communications with the DCC. </w:t>
            </w:r>
          </w:p>
        </w:tc>
      </w:tr>
      <w:tr w:rsidR="00E04B46" w14:paraId="3F202C7D" w14:textId="77777777" w:rsidTr="259B84B3">
        <w:trPr>
          <w:cantSplit/>
        </w:trPr>
        <w:tc>
          <w:tcPr>
            <w:tcW w:w="0" w:type="auto"/>
          </w:tcPr>
          <w:p w14:paraId="36C6F084" w14:textId="27645284" w:rsidR="00E04B46" w:rsidRDefault="00E04B46" w:rsidP="00E04B46">
            <w:pPr>
              <w:pStyle w:val="Body2"/>
              <w:spacing w:after="240" w:line="240" w:lineRule="auto"/>
              <w:ind w:left="0"/>
              <w:jc w:val="left"/>
              <w:rPr>
                <w:b/>
                <w:bCs/>
              </w:rPr>
            </w:pPr>
            <w:r w:rsidRPr="24AA5040">
              <w:rPr>
                <w:b/>
                <w:bCs/>
                <w:color w:val="000000" w:themeColor="text1"/>
              </w:rPr>
              <w:t>DCC Gateway HV</w:t>
            </w:r>
            <w:r>
              <w:rPr>
                <w:b/>
                <w:bCs/>
                <w:color w:val="000000" w:themeColor="text1"/>
              </w:rPr>
              <w:t xml:space="preserve"> </w:t>
            </w:r>
            <w:r w:rsidRPr="24AA5040">
              <w:rPr>
                <w:b/>
                <w:bCs/>
                <w:color w:val="000000" w:themeColor="text1"/>
              </w:rPr>
              <w:t xml:space="preserve">Cloud </w:t>
            </w:r>
            <w:r>
              <w:rPr>
                <w:b/>
                <w:bCs/>
                <w:color w:val="000000" w:themeColor="text1"/>
              </w:rPr>
              <w:t>C</w:t>
            </w:r>
            <w:r w:rsidRPr="24AA5040">
              <w:rPr>
                <w:b/>
                <w:bCs/>
                <w:color w:val="000000" w:themeColor="text1"/>
              </w:rPr>
              <w:t>onnection</w:t>
            </w:r>
          </w:p>
        </w:tc>
        <w:tc>
          <w:tcPr>
            <w:tcW w:w="0" w:type="auto"/>
          </w:tcPr>
          <w:p w14:paraId="0905D099" w14:textId="4EBE48BA" w:rsidR="00E04B46" w:rsidRDefault="00E04B46" w:rsidP="00E04B46">
            <w:pPr>
              <w:pStyle w:val="Body2"/>
              <w:spacing w:after="240" w:line="240" w:lineRule="auto"/>
              <w:ind w:left="0"/>
            </w:pPr>
            <w:r w:rsidRPr="0014110B">
              <w:rPr>
                <w:color w:val="000000"/>
              </w:rPr>
              <w:t xml:space="preserve">means the cloud-based technology solution by which the DCC provides DCC </w:t>
            </w:r>
            <w:r>
              <w:rPr>
                <w:color w:val="000000"/>
              </w:rPr>
              <w:t xml:space="preserve">Connect </w:t>
            </w:r>
            <w:r w:rsidRPr="0014110B">
              <w:rPr>
                <w:color w:val="000000"/>
              </w:rPr>
              <w:t xml:space="preserve">Gateway Connections as further described in </w:t>
            </w:r>
            <w:r>
              <w:rPr>
                <w:color w:val="000000"/>
              </w:rPr>
              <w:t>Annex 4 of this NETMAD</w:t>
            </w:r>
            <w:r w:rsidRPr="0014110B">
              <w:rPr>
                <w:color w:val="000000"/>
              </w:rPr>
              <w:t>.</w:t>
            </w:r>
          </w:p>
        </w:tc>
      </w:tr>
      <w:tr w:rsidR="00E04B46" w14:paraId="1808A259" w14:textId="77777777" w:rsidTr="259B84B3">
        <w:trPr>
          <w:cantSplit/>
        </w:trPr>
        <w:tc>
          <w:tcPr>
            <w:tcW w:w="0" w:type="auto"/>
          </w:tcPr>
          <w:p w14:paraId="2A257C58" w14:textId="74F8D8F1" w:rsidR="00E04B46" w:rsidRDefault="00E04B46" w:rsidP="00E04B46">
            <w:pPr>
              <w:pStyle w:val="Body2"/>
              <w:spacing w:after="240" w:line="240" w:lineRule="auto"/>
              <w:ind w:left="0"/>
              <w:jc w:val="left"/>
              <w:rPr>
                <w:b/>
                <w:bCs/>
              </w:rPr>
            </w:pPr>
            <w:r w:rsidRPr="0014110B">
              <w:rPr>
                <w:b/>
                <w:color w:val="000000"/>
              </w:rPr>
              <w:t>DCC Gateway HV Physical Connection</w:t>
            </w:r>
          </w:p>
        </w:tc>
        <w:tc>
          <w:tcPr>
            <w:tcW w:w="0" w:type="auto"/>
          </w:tcPr>
          <w:p w14:paraId="7B200FBC" w14:textId="09A7796F" w:rsidR="00E04B46" w:rsidRDefault="00E04B46" w:rsidP="00E04B46">
            <w:pPr>
              <w:pStyle w:val="Body2"/>
              <w:spacing w:after="240" w:line="240" w:lineRule="auto"/>
              <w:ind w:left="0"/>
            </w:pPr>
            <w:r w:rsidRPr="762E2091">
              <w:rPr>
                <w:color w:val="000000" w:themeColor="text1"/>
              </w:rPr>
              <w:t xml:space="preserve">means the </w:t>
            </w:r>
            <w:r>
              <w:rPr>
                <w:color w:val="000000" w:themeColor="text1"/>
              </w:rPr>
              <w:t xml:space="preserve">non-cloud based </w:t>
            </w:r>
            <w:r w:rsidRPr="762E2091">
              <w:rPr>
                <w:color w:val="000000" w:themeColor="text1"/>
              </w:rPr>
              <w:t>high-volume technology solution by which the DCC provides DCC Connect Gateway Connections, as further described in Annex 4 of this NETMAD.</w:t>
            </w:r>
          </w:p>
        </w:tc>
      </w:tr>
      <w:tr w:rsidR="00E04B46" w14:paraId="62B000B7" w14:textId="77777777" w:rsidTr="259B84B3">
        <w:trPr>
          <w:cantSplit/>
        </w:trPr>
        <w:tc>
          <w:tcPr>
            <w:tcW w:w="0" w:type="auto"/>
          </w:tcPr>
          <w:p w14:paraId="6B4AF028" w14:textId="78EA4FBE" w:rsidR="00E04B46" w:rsidRDefault="00E04B46" w:rsidP="00E04B46">
            <w:pPr>
              <w:pStyle w:val="Body2"/>
              <w:spacing w:after="240" w:line="240" w:lineRule="auto"/>
              <w:ind w:left="0"/>
              <w:jc w:val="left"/>
              <w:rPr>
                <w:b/>
                <w:bCs/>
              </w:rPr>
            </w:pPr>
            <w:r>
              <w:rPr>
                <w:b/>
                <w:color w:val="000000"/>
              </w:rPr>
              <w:t>DCC Gateway LV Connection</w:t>
            </w:r>
          </w:p>
        </w:tc>
        <w:tc>
          <w:tcPr>
            <w:tcW w:w="0" w:type="auto"/>
          </w:tcPr>
          <w:p w14:paraId="34EC2764" w14:textId="5002239C" w:rsidR="00E04B46" w:rsidRDefault="00E04B46" w:rsidP="00E04B46">
            <w:pPr>
              <w:pStyle w:val="Body2"/>
              <w:spacing w:after="240" w:line="240" w:lineRule="auto"/>
              <w:ind w:left="0"/>
            </w:pPr>
            <w:r w:rsidRPr="4BDD1D15">
              <w:rPr>
                <w:color w:val="000000" w:themeColor="text1"/>
              </w:rPr>
              <w:t>means the low-volume technology solution by which the DCC provides DCC Connect Gateway Connections as further described in Annex 4 of this NETMAD.</w:t>
            </w:r>
          </w:p>
        </w:tc>
      </w:tr>
      <w:tr w:rsidR="00E1457C" w14:paraId="4FFBA600" w14:textId="77777777" w:rsidTr="259B84B3">
        <w:trPr>
          <w:cantSplit/>
        </w:trPr>
        <w:tc>
          <w:tcPr>
            <w:tcW w:w="0" w:type="auto"/>
          </w:tcPr>
          <w:p w14:paraId="2FAB28EE" w14:textId="0DDA64D0" w:rsidR="00E1457C" w:rsidRDefault="00E1457C" w:rsidP="00E1457C">
            <w:pPr>
              <w:pStyle w:val="Body2"/>
              <w:spacing w:after="240" w:line="240" w:lineRule="auto"/>
              <w:ind w:left="0"/>
              <w:jc w:val="left"/>
              <w:rPr>
                <w:b/>
                <w:bCs/>
              </w:rPr>
            </w:pPr>
            <w:r>
              <w:rPr>
                <w:b/>
                <w:bCs/>
              </w:rPr>
              <w:t>DCC Identity Provider Service</w:t>
            </w:r>
          </w:p>
        </w:tc>
        <w:tc>
          <w:tcPr>
            <w:tcW w:w="0" w:type="auto"/>
          </w:tcPr>
          <w:p w14:paraId="544E03FB" w14:textId="0E5A3A89" w:rsidR="00E1457C" w:rsidRDefault="00E1457C" w:rsidP="00E1457C">
            <w:pPr>
              <w:pStyle w:val="Body2"/>
              <w:spacing w:after="240" w:line="240" w:lineRule="auto"/>
              <w:ind w:left="0"/>
            </w:pPr>
            <w:r>
              <w:t>means the new identity provider service which will be provided in conjunction with the FSM Platform.</w:t>
            </w:r>
          </w:p>
        </w:tc>
      </w:tr>
      <w:tr w:rsidR="009375B9" w14:paraId="768F8F25" w14:textId="77777777" w:rsidTr="259B84B3">
        <w:trPr>
          <w:cantSplit/>
        </w:trPr>
        <w:tc>
          <w:tcPr>
            <w:tcW w:w="0" w:type="auto"/>
          </w:tcPr>
          <w:p w14:paraId="105F7F44" w14:textId="36844B5F" w:rsidR="009375B9" w:rsidRDefault="009375B9" w:rsidP="009375B9">
            <w:pPr>
              <w:pStyle w:val="Body2"/>
              <w:spacing w:after="240" w:line="240" w:lineRule="auto"/>
              <w:ind w:left="0"/>
              <w:jc w:val="left"/>
              <w:rPr>
                <w:b/>
                <w:bCs/>
              </w:rPr>
            </w:pPr>
            <w:r>
              <w:rPr>
                <w:b/>
                <w:bCs/>
              </w:rPr>
              <w:t xml:space="preserve">Future Service Management Platform </w:t>
            </w:r>
            <w:r w:rsidRPr="00E66D1B">
              <w:t>(or</w:t>
            </w:r>
            <w:r>
              <w:rPr>
                <w:b/>
                <w:bCs/>
              </w:rPr>
              <w:t xml:space="preserve"> FSM Platform</w:t>
            </w:r>
            <w:r w:rsidRPr="00E66D1B">
              <w:t>)</w:t>
            </w:r>
          </w:p>
        </w:tc>
        <w:tc>
          <w:tcPr>
            <w:tcW w:w="0" w:type="auto"/>
          </w:tcPr>
          <w:p w14:paraId="3AA211BF" w14:textId="68DD5F12" w:rsidR="009375B9" w:rsidRDefault="009375B9" w:rsidP="009375B9">
            <w:pPr>
              <w:pStyle w:val="Body2"/>
              <w:spacing w:after="240" w:line="240" w:lineRule="auto"/>
              <w:ind w:left="0"/>
            </w:pPr>
            <w:r w:rsidRPr="00A737AA">
              <w:t>means</w:t>
            </w:r>
            <w:r w:rsidRPr="001A6156">
              <w:t xml:space="preserve"> the tool being implemented on the ServiceNow platform, incorporating the </w:t>
            </w:r>
            <w:r>
              <w:t xml:space="preserve">new </w:t>
            </w:r>
            <w:r w:rsidRPr="001A6156">
              <w:t xml:space="preserve">Self-Service Interface and the </w:t>
            </w:r>
            <w:r>
              <w:t xml:space="preserve">new </w:t>
            </w:r>
            <w:r w:rsidRPr="001A6156">
              <w:t>Order Management System</w:t>
            </w:r>
            <w:r>
              <w:t>.</w:t>
            </w:r>
          </w:p>
        </w:tc>
      </w:tr>
      <w:tr w:rsidR="009375B9" w14:paraId="57EF9BF3" w14:textId="77777777" w:rsidTr="259B84B3">
        <w:trPr>
          <w:cantSplit/>
        </w:trPr>
        <w:tc>
          <w:tcPr>
            <w:tcW w:w="0" w:type="auto"/>
          </w:tcPr>
          <w:p w14:paraId="0AC6CD26" w14:textId="35A94D7B" w:rsidR="009375B9" w:rsidRDefault="009375B9" w:rsidP="009375B9">
            <w:pPr>
              <w:pStyle w:val="Body2"/>
              <w:spacing w:after="240" w:line="240" w:lineRule="auto"/>
              <w:ind w:left="0"/>
              <w:jc w:val="left"/>
              <w:rPr>
                <w:b/>
                <w:bCs/>
              </w:rPr>
            </w:pPr>
            <w:r>
              <w:rPr>
                <w:b/>
                <w:bCs/>
              </w:rPr>
              <w:lastRenderedPageBreak/>
              <w:t>FSM Migration Environment</w:t>
            </w:r>
          </w:p>
        </w:tc>
        <w:tc>
          <w:tcPr>
            <w:tcW w:w="0" w:type="auto"/>
          </w:tcPr>
          <w:p w14:paraId="07B8CF26" w14:textId="2BA4327C" w:rsidR="009375B9" w:rsidRDefault="009375B9" w:rsidP="009375B9">
            <w:pPr>
              <w:pStyle w:val="Body2"/>
              <w:spacing w:after="240" w:line="240" w:lineRule="auto"/>
              <w:ind w:left="0"/>
            </w:pPr>
            <w:r w:rsidRPr="001A6156">
              <w:t xml:space="preserve">means a version of the </w:t>
            </w:r>
            <w:r>
              <w:t>FSM Platform</w:t>
            </w:r>
            <w:r w:rsidRPr="001A6156">
              <w:t xml:space="preserve"> that will be used by </w:t>
            </w:r>
            <w:r>
              <w:t xml:space="preserve">an </w:t>
            </w:r>
            <w:r w:rsidRPr="001A6156">
              <w:t xml:space="preserve">Administration </w:t>
            </w:r>
            <w:r>
              <w:t xml:space="preserve">User </w:t>
            </w:r>
            <w:r w:rsidRPr="001A6156">
              <w:t xml:space="preserve">to validate and reactivate </w:t>
            </w:r>
            <w:r>
              <w:t>the User’s set of</w:t>
            </w:r>
            <w:r w:rsidRPr="001A6156">
              <w:t xml:space="preserve"> SSI Accounts to </w:t>
            </w:r>
            <w:r>
              <w:t xml:space="preserve">subsequently </w:t>
            </w:r>
            <w:r w:rsidRPr="001A6156">
              <w:t xml:space="preserve">be populated </w:t>
            </w:r>
            <w:r>
              <w:t>into</w:t>
            </w:r>
            <w:r w:rsidRPr="001A6156">
              <w:t xml:space="preserve"> the FSM Platform</w:t>
            </w:r>
            <w:r>
              <w:t>.</w:t>
            </w:r>
          </w:p>
        </w:tc>
      </w:tr>
      <w:tr w:rsidR="009375B9" w14:paraId="4C300A2B" w14:textId="77777777" w:rsidTr="259B84B3">
        <w:trPr>
          <w:cantSplit/>
        </w:trPr>
        <w:tc>
          <w:tcPr>
            <w:tcW w:w="0" w:type="auto"/>
          </w:tcPr>
          <w:p w14:paraId="64B18DCD" w14:textId="6168CAEA" w:rsidR="009375B9" w:rsidRDefault="009375B9" w:rsidP="009375B9">
            <w:pPr>
              <w:pStyle w:val="Body2"/>
              <w:spacing w:after="240" w:line="240" w:lineRule="auto"/>
              <w:ind w:left="0"/>
              <w:jc w:val="left"/>
              <w:rPr>
                <w:b/>
                <w:bCs/>
              </w:rPr>
            </w:pPr>
            <w:r>
              <w:rPr>
                <w:b/>
                <w:bCs/>
              </w:rPr>
              <w:t>FSM UIT Environment</w:t>
            </w:r>
          </w:p>
        </w:tc>
        <w:tc>
          <w:tcPr>
            <w:tcW w:w="0" w:type="auto"/>
          </w:tcPr>
          <w:p w14:paraId="0A99DFEC" w14:textId="0C3D7011" w:rsidR="009375B9" w:rsidRDefault="009375B9" w:rsidP="009375B9">
            <w:pPr>
              <w:pStyle w:val="Body2"/>
              <w:spacing w:after="240" w:line="240" w:lineRule="auto"/>
              <w:ind w:left="0"/>
            </w:pPr>
            <w:r w:rsidRPr="001A6156">
              <w:t xml:space="preserve">means a version of the </w:t>
            </w:r>
            <w:r>
              <w:t>FSM Platform</w:t>
            </w:r>
            <w:r w:rsidRPr="001A6156">
              <w:t xml:space="preserve"> that will be used by </w:t>
            </w:r>
            <w:r>
              <w:t>User Personnel to perform their UIT testing obligations per Clause 11.</w:t>
            </w:r>
          </w:p>
        </w:tc>
      </w:tr>
      <w:tr w:rsidR="009375B9" w14:paraId="40065074" w14:textId="77777777" w:rsidTr="259B84B3">
        <w:trPr>
          <w:cantSplit/>
        </w:trPr>
        <w:tc>
          <w:tcPr>
            <w:tcW w:w="0" w:type="auto"/>
          </w:tcPr>
          <w:p w14:paraId="0C2F9188" w14:textId="5336C249" w:rsidR="009375B9" w:rsidRDefault="009375B9" w:rsidP="009375B9">
            <w:pPr>
              <w:pStyle w:val="Body2"/>
              <w:spacing w:after="240" w:line="240" w:lineRule="auto"/>
              <w:ind w:left="0"/>
              <w:jc w:val="left"/>
              <w:rPr>
                <w:b/>
                <w:bCs/>
              </w:rPr>
            </w:pPr>
            <w:r>
              <w:rPr>
                <w:b/>
                <w:bCs/>
              </w:rPr>
              <w:t>Functional Component</w:t>
            </w:r>
          </w:p>
        </w:tc>
        <w:tc>
          <w:tcPr>
            <w:tcW w:w="0" w:type="auto"/>
          </w:tcPr>
          <w:p w14:paraId="17EED24B" w14:textId="76C84BEC" w:rsidR="009375B9" w:rsidRDefault="009375B9" w:rsidP="009375B9">
            <w:pPr>
              <w:pStyle w:val="Body2"/>
              <w:spacing w:after="240" w:line="240" w:lineRule="auto"/>
              <w:ind w:left="0"/>
            </w:pPr>
            <w:r w:rsidRPr="00D876CE">
              <w:t xml:space="preserve">means a specific </w:t>
            </w:r>
            <w:r>
              <w:t xml:space="preserve">functionality </w:t>
            </w:r>
            <w:r w:rsidRPr="00D876CE">
              <w:t xml:space="preserve">item or set of </w:t>
            </w:r>
            <w:proofErr w:type="gramStart"/>
            <w:r w:rsidRPr="00D876CE">
              <w:t>functionality</w:t>
            </w:r>
            <w:proofErr w:type="gramEnd"/>
            <w:r w:rsidRPr="00D876CE">
              <w:t xml:space="preserve"> provided by the </w:t>
            </w:r>
            <w:r>
              <w:t>FSM Platform</w:t>
            </w:r>
            <w:r w:rsidRPr="00D876CE">
              <w:t xml:space="preserve"> which is subject to the access controls set out in </w:t>
            </w:r>
            <w:r>
              <w:t>Clause 12 of this NETMAD</w:t>
            </w:r>
            <w:r w:rsidRPr="00D876CE">
              <w:t>.</w:t>
            </w:r>
          </w:p>
        </w:tc>
      </w:tr>
      <w:tr w:rsidR="009375B9" w14:paraId="12D54147" w14:textId="77777777" w:rsidTr="259B84B3">
        <w:trPr>
          <w:cantSplit/>
        </w:trPr>
        <w:tc>
          <w:tcPr>
            <w:tcW w:w="0" w:type="auto"/>
          </w:tcPr>
          <w:p w14:paraId="688D06E0" w14:textId="083505A0" w:rsidR="009375B9" w:rsidRDefault="009375B9" w:rsidP="009375B9">
            <w:pPr>
              <w:pStyle w:val="Body2"/>
              <w:spacing w:after="240" w:line="240" w:lineRule="auto"/>
              <w:ind w:left="0"/>
              <w:jc w:val="left"/>
              <w:rPr>
                <w:b/>
                <w:bCs/>
              </w:rPr>
            </w:pPr>
            <w:r>
              <w:rPr>
                <w:b/>
                <w:bCs/>
              </w:rPr>
              <w:t>Geographical Region</w:t>
            </w:r>
          </w:p>
        </w:tc>
        <w:tc>
          <w:tcPr>
            <w:tcW w:w="0" w:type="auto"/>
          </w:tcPr>
          <w:p w14:paraId="054DC041" w14:textId="1E4A7DCE" w:rsidR="009375B9" w:rsidRDefault="009375B9" w:rsidP="009375B9">
            <w:pPr>
              <w:pStyle w:val="Body2"/>
              <w:spacing w:after="240" w:line="240" w:lineRule="auto"/>
              <w:ind w:left="0"/>
            </w:pPr>
            <w:r>
              <w:t>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r w:rsidR="009375B9" w14:paraId="04811EA3" w14:textId="77777777" w:rsidTr="259B84B3">
        <w:trPr>
          <w:cantSplit/>
        </w:trPr>
        <w:tc>
          <w:tcPr>
            <w:tcW w:w="0" w:type="auto"/>
          </w:tcPr>
          <w:p w14:paraId="24DBFD89" w14:textId="2A2FC7EA" w:rsidR="009375B9" w:rsidRDefault="009375B9" w:rsidP="009375B9">
            <w:pPr>
              <w:pStyle w:val="Body2"/>
              <w:spacing w:after="240" w:line="240" w:lineRule="auto"/>
              <w:ind w:left="0"/>
              <w:jc w:val="left"/>
              <w:rPr>
                <w:b/>
                <w:bCs/>
              </w:rPr>
            </w:pPr>
            <w:r>
              <w:rPr>
                <w:b/>
                <w:bCs/>
              </w:rPr>
              <w:t xml:space="preserve">Initial Pallet Manufacture </w:t>
            </w:r>
            <w:r w:rsidRPr="00091572">
              <w:t>(or</w:t>
            </w:r>
            <w:r>
              <w:rPr>
                <w:b/>
                <w:bCs/>
              </w:rPr>
              <w:t xml:space="preserve"> IPM</w:t>
            </w:r>
            <w:r w:rsidRPr="00091572">
              <w:t>)</w:t>
            </w:r>
          </w:p>
        </w:tc>
        <w:tc>
          <w:tcPr>
            <w:tcW w:w="0" w:type="auto"/>
          </w:tcPr>
          <w:p w14:paraId="269A321C" w14:textId="57532F7B" w:rsidR="009375B9" w:rsidRDefault="009375B9" w:rsidP="009375B9">
            <w:pPr>
              <w:pStyle w:val="Body2"/>
              <w:spacing w:after="240" w:line="240" w:lineRule="auto"/>
              <w:ind w:left="0"/>
            </w:pPr>
            <w:r>
              <w:t>means the first date on which 4G Communications Hubs will be manufactured for the purpose of Initial Pallet Validation.</w:t>
            </w:r>
          </w:p>
        </w:tc>
      </w:tr>
      <w:tr w:rsidR="009375B9" w14:paraId="523DD70D" w14:textId="77777777" w:rsidTr="259B84B3">
        <w:trPr>
          <w:cantSplit/>
        </w:trPr>
        <w:tc>
          <w:tcPr>
            <w:tcW w:w="0" w:type="auto"/>
          </w:tcPr>
          <w:p w14:paraId="1FEFF52B" w14:textId="77777777" w:rsidR="009375B9" w:rsidRDefault="009375B9" w:rsidP="009375B9">
            <w:pPr>
              <w:pStyle w:val="Body2"/>
              <w:spacing w:after="240" w:line="240" w:lineRule="auto"/>
              <w:ind w:left="0"/>
              <w:jc w:val="left"/>
            </w:pPr>
            <w:r>
              <w:rPr>
                <w:b/>
                <w:bCs/>
              </w:rPr>
              <w:t>Initial Pallet Validation</w:t>
            </w:r>
            <w:r>
              <w:t xml:space="preserve"> (or </w:t>
            </w:r>
            <w:r>
              <w:rPr>
                <w:b/>
                <w:bCs/>
              </w:rPr>
              <w:t>IPV</w:t>
            </w:r>
            <w:r>
              <w:t>)</w:t>
            </w:r>
          </w:p>
        </w:tc>
        <w:tc>
          <w:tcPr>
            <w:tcW w:w="0" w:type="auto"/>
          </w:tcPr>
          <w:p w14:paraId="539D3D19" w14:textId="77777777" w:rsidR="009375B9" w:rsidRDefault="009375B9" w:rsidP="009375B9">
            <w:pPr>
              <w:pStyle w:val="Body2"/>
              <w:spacing w:after="240" w:line="240" w:lineRule="auto"/>
              <w:ind w:left="0"/>
            </w:pPr>
            <w:r>
              <w:t>means the initial trialling of 4G Communications Hubs by Supplier Parties in premises.</w:t>
            </w:r>
          </w:p>
        </w:tc>
      </w:tr>
      <w:tr w:rsidR="009375B9" w14:paraId="3876BE64" w14:textId="77777777" w:rsidTr="259B84B3">
        <w:trPr>
          <w:cantSplit/>
        </w:trPr>
        <w:tc>
          <w:tcPr>
            <w:tcW w:w="0" w:type="auto"/>
          </w:tcPr>
          <w:p w14:paraId="296FE7F0" w14:textId="77777777" w:rsidR="009375B9" w:rsidRDefault="009375B9" w:rsidP="009375B9">
            <w:pPr>
              <w:pStyle w:val="Body2"/>
              <w:spacing w:after="240" w:line="240" w:lineRule="auto"/>
              <w:ind w:left="0"/>
              <w:jc w:val="left"/>
              <w:rPr>
                <w:b/>
                <w:bCs/>
              </w:rPr>
            </w:pPr>
            <w:r>
              <w:rPr>
                <w:b/>
                <w:bCs/>
              </w:rPr>
              <w:t>Initial Pallet Validation Approach Document</w:t>
            </w:r>
          </w:p>
        </w:tc>
        <w:tc>
          <w:tcPr>
            <w:tcW w:w="0" w:type="auto"/>
          </w:tcPr>
          <w:p w14:paraId="4521B056" w14:textId="46C2FB29" w:rsidR="009375B9" w:rsidRDefault="009375B9" w:rsidP="009375B9">
            <w:pPr>
              <w:pStyle w:val="Body2"/>
              <w:spacing w:after="240" w:line="240" w:lineRule="auto"/>
              <w:ind w:left="0"/>
            </w:pPr>
            <w:r>
              <w:t>means a document produced pursuant to Clause 4.4 of this NETMAD</w:t>
            </w:r>
          </w:p>
        </w:tc>
      </w:tr>
      <w:tr w:rsidR="009375B9" w14:paraId="45E263D9" w14:textId="77777777" w:rsidTr="259B84B3">
        <w:trPr>
          <w:cantSplit/>
        </w:trPr>
        <w:tc>
          <w:tcPr>
            <w:tcW w:w="0" w:type="auto"/>
          </w:tcPr>
          <w:p w14:paraId="3E72D26D" w14:textId="77777777" w:rsidR="009375B9" w:rsidRDefault="009375B9" w:rsidP="009375B9">
            <w:pPr>
              <w:pStyle w:val="Body2"/>
              <w:spacing w:after="240" w:line="240" w:lineRule="auto"/>
              <w:ind w:left="0"/>
              <w:jc w:val="left"/>
              <w:rPr>
                <w:b/>
                <w:bCs/>
              </w:rPr>
            </w:pPr>
            <w:r>
              <w:rPr>
                <w:b/>
                <w:bCs/>
              </w:rPr>
              <w:t>Initial Pallet Validation Stage</w:t>
            </w:r>
          </w:p>
        </w:tc>
        <w:tc>
          <w:tcPr>
            <w:tcW w:w="0" w:type="auto"/>
          </w:tcPr>
          <w:p w14:paraId="55FF801B" w14:textId="412A1D2D" w:rsidR="009375B9" w:rsidRDefault="009375B9" w:rsidP="009375B9">
            <w:pPr>
              <w:pStyle w:val="Body2"/>
              <w:spacing w:after="240" w:line="240" w:lineRule="auto"/>
              <w:ind w:left="0"/>
            </w:pPr>
            <w:r>
              <w:t>means the period during which Initial Pallet Validation will be conducted.</w:t>
            </w:r>
          </w:p>
        </w:tc>
      </w:tr>
      <w:tr w:rsidR="009375B9" w14:paraId="53AD62FA" w14:textId="77777777" w:rsidTr="259B84B3">
        <w:trPr>
          <w:cantSplit/>
        </w:trPr>
        <w:tc>
          <w:tcPr>
            <w:tcW w:w="0" w:type="auto"/>
          </w:tcPr>
          <w:p w14:paraId="191D6615" w14:textId="77777777" w:rsidR="009375B9" w:rsidRDefault="009375B9" w:rsidP="009375B9">
            <w:pPr>
              <w:pStyle w:val="Body2"/>
              <w:spacing w:after="240" w:line="240" w:lineRule="auto"/>
              <w:ind w:left="0"/>
              <w:jc w:val="left"/>
              <w:rPr>
                <w:b/>
                <w:bCs/>
              </w:rPr>
            </w:pPr>
            <w:r>
              <w:rPr>
                <w:b/>
                <w:bCs/>
              </w:rPr>
              <w:t>JIP Milestone</w:t>
            </w:r>
          </w:p>
        </w:tc>
        <w:tc>
          <w:tcPr>
            <w:tcW w:w="0" w:type="auto"/>
          </w:tcPr>
          <w:p w14:paraId="17E1FCD6" w14:textId="77777777" w:rsidR="009375B9" w:rsidRDefault="009375B9" w:rsidP="009375B9">
            <w:pPr>
              <w:pStyle w:val="Body2"/>
              <w:spacing w:after="240" w:line="240" w:lineRule="auto"/>
              <w:ind w:left="0"/>
            </w:pPr>
            <w:r>
              <w:t>means a milestone within the Joint Industry Plan.</w:t>
            </w:r>
          </w:p>
        </w:tc>
      </w:tr>
      <w:tr w:rsidR="009375B9" w14:paraId="2775B5BC" w14:textId="77777777" w:rsidTr="259B84B3">
        <w:trPr>
          <w:cantSplit/>
        </w:trPr>
        <w:tc>
          <w:tcPr>
            <w:tcW w:w="0" w:type="auto"/>
          </w:tcPr>
          <w:p w14:paraId="70A08A54" w14:textId="7B3D7D0F" w:rsidR="009375B9" w:rsidRDefault="009375B9" w:rsidP="009375B9">
            <w:pPr>
              <w:pStyle w:val="Body2"/>
              <w:spacing w:after="240" w:line="240" w:lineRule="auto"/>
              <w:ind w:left="0"/>
              <w:jc w:val="left"/>
              <w:rPr>
                <w:b/>
                <w:bCs/>
              </w:rPr>
            </w:pPr>
            <w:r>
              <w:rPr>
                <w:b/>
                <w:bCs/>
              </w:rPr>
              <w:t>Job Type Role</w:t>
            </w:r>
          </w:p>
        </w:tc>
        <w:tc>
          <w:tcPr>
            <w:tcW w:w="0" w:type="auto"/>
          </w:tcPr>
          <w:p w14:paraId="59E7AA1B" w14:textId="1B7224D5" w:rsidR="009375B9" w:rsidRDefault="009375B9" w:rsidP="009375B9">
            <w:pPr>
              <w:pStyle w:val="Body2"/>
              <w:spacing w:after="240" w:line="240" w:lineRule="auto"/>
              <w:ind w:left="0"/>
            </w:pPr>
            <w:r w:rsidRPr="00C104D6">
              <w:t>means one of the functional roles as set out in the SSI Functions and Roles Policy</w:t>
            </w:r>
            <w:r>
              <w:t>.</w:t>
            </w:r>
          </w:p>
        </w:tc>
      </w:tr>
      <w:tr w:rsidR="009375B9" w14:paraId="7ED1D1BF" w14:textId="77777777" w:rsidTr="259B84B3">
        <w:trPr>
          <w:cantSplit/>
        </w:trPr>
        <w:tc>
          <w:tcPr>
            <w:tcW w:w="0" w:type="auto"/>
          </w:tcPr>
          <w:p w14:paraId="3DBAE45E" w14:textId="56774081" w:rsidR="009375B9" w:rsidRDefault="009375B9" w:rsidP="009375B9">
            <w:pPr>
              <w:pStyle w:val="Body2"/>
              <w:spacing w:after="240" w:line="240" w:lineRule="auto"/>
              <w:ind w:left="0"/>
              <w:jc w:val="left"/>
              <w:rPr>
                <w:b/>
                <w:bCs/>
              </w:rPr>
            </w:pPr>
            <w:r>
              <w:rPr>
                <w:b/>
                <w:bCs/>
              </w:rPr>
              <w:lastRenderedPageBreak/>
              <w:t>Joint Industry Plan (JIP)</w:t>
            </w:r>
          </w:p>
        </w:tc>
        <w:tc>
          <w:tcPr>
            <w:tcW w:w="0" w:type="auto"/>
          </w:tcPr>
          <w:p w14:paraId="45D7B1EE" w14:textId="08663D72" w:rsidR="009375B9" w:rsidRDefault="009375B9" w:rsidP="009375B9">
            <w:pPr>
              <w:pStyle w:val="Body2"/>
              <w:spacing w:after="240" w:line="240" w:lineRule="auto"/>
              <w:ind w:left="0"/>
            </w:pPr>
            <w:r>
              <w:t xml:space="preserve">(in the context of this NETMAD) means the part of the joint industry </w:t>
            </w:r>
            <w:r w:rsidDel="008B0A70">
              <w:t>p</w:t>
            </w:r>
            <w:r>
              <w:t xml:space="preserve">lan that relates to the 4G Communications Hubs and Network Programme that is agreed at the </w:t>
            </w:r>
            <w:r w:rsidRPr="000B0771">
              <w:t>Department for Energy, Security and Net Zero's smart metering design group</w:t>
            </w:r>
            <w:r>
              <w:t>.</w:t>
            </w:r>
          </w:p>
        </w:tc>
      </w:tr>
      <w:tr w:rsidR="009375B9" w14:paraId="15CB07D5" w14:textId="77777777" w:rsidTr="259B84B3">
        <w:trPr>
          <w:cantSplit/>
        </w:trPr>
        <w:tc>
          <w:tcPr>
            <w:tcW w:w="0" w:type="auto"/>
          </w:tcPr>
          <w:p w14:paraId="694AC632" w14:textId="3362C1A8" w:rsidR="009375B9" w:rsidRDefault="009375B9" w:rsidP="009375B9">
            <w:pPr>
              <w:pStyle w:val="Body2"/>
              <w:spacing w:after="240" w:line="240" w:lineRule="auto"/>
              <w:ind w:left="0"/>
              <w:jc w:val="left"/>
              <w:rPr>
                <w:b/>
                <w:bCs/>
              </w:rPr>
            </w:pPr>
            <w:r>
              <w:rPr>
                <w:b/>
                <w:bCs/>
              </w:rPr>
              <w:t>Legacy DSMS</w:t>
            </w:r>
          </w:p>
        </w:tc>
        <w:tc>
          <w:tcPr>
            <w:tcW w:w="0" w:type="auto"/>
          </w:tcPr>
          <w:p w14:paraId="74A26A0A" w14:textId="0718853E" w:rsidR="009375B9" w:rsidRDefault="009375B9" w:rsidP="009375B9">
            <w:pPr>
              <w:pStyle w:val="Body2"/>
              <w:spacing w:after="240" w:line="240" w:lineRule="auto"/>
              <w:ind w:left="0"/>
            </w:pPr>
            <w:r w:rsidRPr="00A737AA">
              <w:t>means</w:t>
            </w:r>
            <w:r w:rsidRPr="00067B2F">
              <w:t xml:space="preserve"> the </w:t>
            </w:r>
            <w:proofErr w:type="gramStart"/>
            <w:r w:rsidRPr="00067B2F">
              <w:t>tool</w:t>
            </w:r>
            <w:proofErr w:type="gramEnd"/>
            <w:r>
              <w:t xml:space="preserve"> which</w:t>
            </w:r>
            <w:r w:rsidRPr="00067B2F">
              <w:t xml:space="preserve"> is </w:t>
            </w:r>
            <w:r>
              <w:t>based upon</w:t>
            </w:r>
            <w:r w:rsidRPr="00067B2F">
              <w:t xml:space="preserve"> on </w:t>
            </w:r>
            <w:r>
              <w:t>a</w:t>
            </w:r>
            <w:r w:rsidRPr="00067B2F">
              <w:t xml:space="preserve"> </w:t>
            </w:r>
            <w:r>
              <w:t xml:space="preserve">BMC </w:t>
            </w:r>
            <w:r w:rsidRPr="00067B2F">
              <w:t>Remedy platform</w:t>
            </w:r>
            <w:r>
              <w:t>, including the legacy Self-Service Interface and the associated legacy DCC Identity Provider Service, and which the FSM Platform will replace upon Go-Live.</w:t>
            </w:r>
          </w:p>
        </w:tc>
      </w:tr>
      <w:tr w:rsidR="00712544" w14:paraId="46001F9F" w14:textId="77777777" w:rsidTr="259B84B3">
        <w:trPr>
          <w:cantSplit/>
        </w:trPr>
        <w:tc>
          <w:tcPr>
            <w:tcW w:w="0" w:type="auto"/>
          </w:tcPr>
          <w:p w14:paraId="1245B0AB" w14:textId="4AC42202" w:rsidR="00712544" w:rsidRDefault="00712544" w:rsidP="00712544">
            <w:pPr>
              <w:pStyle w:val="Body2"/>
              <w:spacing w:after="240" w:line="240" w:lineRule="auto"/>
              <w:ind w:left="0"/>
              <w:jc w:val="left"/>
              <w:rPr>
                <w:b/>
                <w:bCs/>
              </w:rPr>
            </w:pPr>
            <w:r w:rsidRPr="0014110B">
              <w:rPr>
                <w:b/>
                <w:color w:val="000000"/>
                <w:spacing w:val="-2"/>
              </w:rPr>
              <w:t>Legacy Gateway Connection</w:t>
            </w:r>
          </w:p>
        </w:tc>
        <w:tc>
          <w:tcPr>
            <w:tcW w:w="0" w:type="auto"/>
          </w:tcPr>
          <w:p w14:paraId="169750B6" w14:textId="61597447" w:rsidR="00712544" w:rsidRPr="00A737AA" w:rsidRDefault="00712544" w:rsidP="00712544">
            <w:pPr>
              <w:pStyle w:val="Body2"/>
              <w:spacing w:after="240" w:line="240" w:lineRule="auto"/>
              <w:ind w:left="0"/>
            </w:pPr>
            <w:r w:rsidRPr="7D2F26FD">
              <w:rPr>
                <w:color w:val="000000" w:themeColor="text1"/>
              </w:rPr>
              <w:t>means a DCC Gateway Connection that is provided using the secure communications network supported by Gamma Telecom Limited acting as a DCC Service Provider.</w:t>
            </w:r>
          </w:p>
        </w:tc>
      </w:tr>
      <w:tr w:rsidR="00712544" w14:paraId="49CC3AAE" w14:textId="77777777" w:rsidTr="259B84B3">
        <w:trPr>
          <w:cantSplit/>
        </w:trPr>
        <w:tc>
          <w:tcPr>
            <w:tcW w:w="0" w:type="auto"/>
          </w:tcPr>
          <w:p w14:paraId="13368581" w14:textId="3FCEA18F" w:rsidR="00712544" w:rsidRDefault="00712544" w:rsidP="00712544">
            <w:pPr>
              <w:pStyle w:val="Body2"/>
              <w:spacing w:after="240" w:line="240" w:lineRule="auto"/>
              <w:ind w:left="0"/>
              <w:jc w:val="left"/>
              <w:rPr>
                <w:b/>
                <w:bCs/>
              </w:rPr>
            </w:pPr>
            <w:r w:rsidRPr="004E4B7B">
              <w:rPr>
                <w:b/>
                <w:color w:val="000000"/>
                <w:spacing w:val="-2"/>
              </w:rPr>
              <w:t>Legacy Gateway Connection Backstop Date</w:t>
            </w:r>
          </w:p>
        </w:tc>
        <w:tc>
          <w:tcPr>
            <w:tcW w:w="0" w:type="auto"/>
          </w:tcPr>
          <w:p w14:paraId="2DAC65DA" w14:textId="56F5BDF5" w:rsidR="00712544" w:rsidRPr="00A737AA" w:rsidRDefault="00712544" w:rsidP="00712544">
            <w:pPr>
              <w:pStyle w:val="Body2"/>
              <w:spacing w:after="240" w:line="240" w:lineRule="auto"/>
              <w:ind w:left="0"/>
            </w:pPr>
            <w:r>
              <w:rPr>
                <w:color w:val="000000"/>
                <w:spacing w:val="-2"/>
              </w:rPr>
              <w:t xml:space="preserve">means, for each Legacy Gateway Connection, either the Backstop Date </w:t>
            </w:r>
            <w:r w:rsidRPr="003E1062">
              <w:rPr>
                <w:color w:val="000000"/>
                <w:spacing w:val="-2"/>
              </w:rPr>
              <w:t>or a late</w:t>
            </w:r>
            <w:r>
              <w:rPr>
                <w:color w:val="000000"/>
                <w:spacing w:val="-2"/>
              </w:rPr>
              <w:t>r</w:t>
            </w:r>
            <w:r w:rsidRPr="003E1062">
              <w:rPr>
                <w:color w:val="000000"/>
                <w:spacing w:val="-2"/>
              </w:rPr>
              <w:t xml:space="preserve"> date established in respect of </w:t>
            </w:r>
            <w:r>
              <w:rPr>
                <w:color w:val="000000"/>
                <w:spacing w:val="-2"/>
              </w:rPr>
              <w:t xml:space="preserve">the </w:t>
            </w:r>
            <w:r w:rsidRPr="003E1062">
              <w:rPr>
                <w:color w:val="000000"/>
                <w:spacing w:val="-2"/>
              </w:rPr>
              <w:t>Legacy Gateway Connection pursuant to Clause 15.</w:t>
            </w:r>
            <w:r>
              <w:rPr>
                <w:color w:val="000000"/>
                <w:spacing w:val="-2"/>
              </w:rPr>
              <w:t>5</w:t>
            </w:r>
            <w:r w:rsidR="0087541E">
              <w:rPr>
                <w:color w:val="000000"/>
                <w:spacing w:val="-2"/>
              </w:rPr>
              <w:t>9</w:t>
            </w:r>
            <w:r>
              <w:rPr>
                <w:color w:val="000000"/>
                <w:spacing w:val="-2"/>
              </w:rPr>
              <w:t xml:space="preserve"> or Clause 15.60.</w:t>
            </w:r>
          </w:p>
        </w:tc>
      </w:tr>
      <w:tr w:rsidR="00712544" w14:paraId="6E0B5B51" w14:textId="77777777" w:rsidTr="259B84B3">
        <w:trPr>
          <w:cantSplit/>
        </w:trPr>
        <w:tc>
          <w:tcPr>
            <w:tcW w:w="0" w:type="auto"/>
          </w:tcPr>
          <w:p w14:paraId="526887DE" w14:textId="2ED8309C" w:rsidR="00712544" w:rsidRDefault="00712544" w:rsidP="00712544">
            <w:pPr>
              <w:pStyle w:val="Body2"/>
              <w:spacing w:after="240" w:line="240" w:lineRule="auto"/>
              <w:ind w:left="0"/>
              <w:jc w:val="left"/>
              <w:rPr>
                <w:b/>
                <w:bCs/>
              </w:rPr>
            </w:pPr>
            <w:r>
              <w:rPr>
                <w:b/>
                <w:bCs/>
              </w:rPr>
              <w:t>DCC’s Microsoft SharePoint</w:t>
            </w:r>
          </w:p>
        </w:tc>
        <w:tc>
          <w:tcPr>
            <w:tcW w:w="0" w:type="auto"/>
          </w:tcPr>
          <w:p w14:paraId="0F3136AE" w14:textId="18CA8403" w:rsidR="00712544" w:rsidRDefault="00712544" w:rsidP="00712544">
            <w:pPr>
              <w:pStyle w:val="Body2"/>
              <w:spacing w:after="240" w:line="240" w:lineRule="auto"/>
              <w:ind w:left="0"/>
              <w:rPr>
                <w:b/>
                <w:bCs/>
              </w:rPr>
            </w:pPr>
            <w:r>
              <w:t>means a web-based collaborative platform that DCC uses to securely share and exchange information with individual Parties.</w:t>
            </w:r>
          </w:p>
        </w:tc>
      </w:tr>
      <w:tr w:rsidR="009B423B" w14:paraId="253AE317" w14:textId="77777777" w:rsidTr="259B84B3">
        <w:trPr>
          <w:cantSplit/>
        </w:trPr>
        <w:tc>
          <w:tcPr>
            <w:tcW w:w="0" w:type="auto"/>
          </w:tcPr>
          <w:p w14:paraId="10E1B954" w14:textId="2781CD35" w:rsidR="009B423B" w:rsidRDefault="009B423B" w:rsidP="009B423B">
            <w:pPr>
              <w:pStyle w:val="Body2"/>
              <w:spacing w:after="240" w:line="240" w:lineRule="auto"/>
              <w:ind w:left="0"/>
              <w:jc w:val="left"/>
              <w:rPr>
                <w:b/>
                <w:bCs/>
              </w:rPr>
            </w:pPr>
            <w:r>
              <w:rPr>
                <w:b/>
                <w:color w:val="000000"/>
              </w:rPr>
              <w:t>Overlay (SD-WAN)</w:t>
            </w:r>
          </w:p>
        </w:tc>
        <w:tc>
          <w:tcPr>
            <w:tcW w:w="0" w:type="auto"/>
          </w:tcPr>
          <w:p w14:paraId="3E8F9459" w14:textId="39AA2779" w:rsidR="009B423B" w:rsidRDefault="009B423B" w:rsidP="009B423B">
            <w:pPr>
              <w:pStyle w:val="Body2"/>
              <w:spacing w:after="240" w:line="240" w:lineRule="auto"/>
              <w:ind w:left="0"/>
            </w:pPr>
            <w:r w:rsidRPr="003B3E85">
              <w:rPr>
                <w:color w:val="000000"/>
              </w:rPr>
              <w:t>means the software that builds upon the Underlay (Circuit) and manages security for a DCC Gateway Connection.</w:t>
            </w:r>
          </w:p>
        </w:tc>
      </w:tr>
      <w:tr w:rsidR="009B423B" w14:paraId="0B11AD13" w14:textId="77777777" w:rsidTr="259B84B3">
        <w:trPr>
          <w:cantSplit/>
        </w:trPr>
        <w:tc>
          <w:tcPr>
            <w:tcW w:w="0" w:type="auto"/>
          </w:tcPr>
          <w:p w14:paraId="6AEE3689" w14:textId="627E9A09" w:rsidR="009B423B" w:rsidRDefault="009B423B" w:rsidP="009B423B">
            <w:pPr>
              <w:pStyle w:val="Body2"/>
              <w:spacing w:after="240" w:line="240" w:lineRule="auto"/>
              <w:ind w:left="0"/>
              <w:jc w:val="left"/>
              <w:rPr>
                <w:b/>
                <w:bCs/>
              </w:rPr>
            </w:pPr>
            <w:r>
              <w:rPr>
                <w:b/>
                <w:bCs/>
              </w:rPr>
              <w:t>Region</w:t>
            </w:r>
          </w:p>
        </w:tc>
        <w:tc>
          <w:tcPr>
            <w:tcW w:w="0" w:type="auto"/>
          </w:tcPr>
          <w:p w14:paraId="5C1A0FE6" w14:textId="52015B45" w:rsidR="009B423B" w:rsidRDefault="009B423B" w:rsidP="009B423B">
            <w:pPr>
              <w:pStyle w:val="Body2"/>
              <w:spacing w:after="240" w:line="240" w:lineRule="auto"/>
              <w:ind w:left="0"/>
            </w:pPr>
            <w:r>
              <w:t xml:space="preserve">means a combination of Geographical Region and Communications Technology as follows: </w:t>
            </w:r>
          </w:p>
          <w:p w14:paraId="6EE0C597" w14:textId="5C7B72A7" w:rsidR="009B423B" w:rsidRPr="00814AFE" w:rsidRDefault="009B423B" w:rsidP="009B423B">
            <w:pPr>
              <w:pStyle w:val="definitionsub"/>
              <w:spacing w:after="240"/>
              <w:rPr>
                <w:rFonts w:ascii="Times New Roman" w:hAnsi="Times New Roman"/>
                <w:sz w:val="24"/>
                <w:szCs w:val="24"/>
              </w:rPr>
            </w:pPr>
            <w:proofErr w:type="gramStart"/>
            <w:r w:rsidRPr="00814AFE">
              <w:rPr>
                <w:rFonts w:ascii="Times New Roman" w:hAnsi="Times New Roman"/>
                <w:sz w:val="24"/>
                <w:szCs w:val="24"/>
              </w:rPr>
              <w:t>North;</w:t>
            </w:r>
            <w:proofErr w:type="gramEnd"/>
            <w:r w:rsidRPr="00814AFE">
              <w:rPr>
                <w:rFonts w:ascii="Times New Roman" w:hAnsi="Times New Roman"/>
                <w:sz w:val="24"/>
                <w:szCs w:val="24"/>
              </w:rPr>
              <w:t xml:space="preserve"> </w:t>
            </w:r>
          </w:p>
          <w:p w14:paraId="4009264B" w14:textId="44FE3240" w:rsidR="009B423B" w:rsidRPr="00814AFE" w:rsidRDefault="009B423B" w:rsidP="009B423B">
            <w:pPr>
              <w:pStyle w:val="definitionsub"/>
              <w:spacing w:after="240"/>
              <w:rPr>
                <w:rFonts w:ascii="Times New Roman" w:hAnsi="Times New Roman"/>
                <w:sz w:val="24"/>
                <w:szCs w:val="24"/>
              </w:rPr>
            </w:pPr>
            <w:r w:rsidRPr="00814AFE">
              <w:rPr>
                <w:rFonts w:ascii="Times New Roman" w:hAnsi="Times New Roman"/>
                <w:sz w:val="24"/>
                <w:szCs w:val="24"/>
              </w:rPr>
              <w:t xml:space="preserve">2G/3G </w:t>
            </w:r>
            <w:proofErr w:type="gramStart"/>
            <w:r w:rsidRPr="00814AFE">
              <w:rPr>
                <w:rFonts w:ascii="Times New Roman" w:hAnsi="Times New Roman"/>
                <w:sz w:val="24"/>
                <w:szCs w:val="24"/>
              </w:rPr>
              <w:t>Central;</w:t>
            </w:r>
            <w:proofErr w:type="gramEnd"/>
            <w:r w:rsidRPr="00814AFE">
              <w:rPr>
                <w:rFonts w:ascii="Times New Roman" w:hAnsi="Times New Roman"/>
                <w:sz w:val="24"/>
                <w:szCs w:val="24"/>
              </w:rPr>
              <w:t xml:space="preserve"> </w:t>
            </w:r>
          </w:p>
          <w:p w14:paraId="4285F149" w14:textId="77777777" w:rsidR="00251A99" w:rsidRDefault="009B423B" w:rsidP="00251A99">
            <w:pPr>
              <w:pStyle w:val="definitionsub"/>
              <w:spacing w:after="240"/>
              <w:rPr>
                <w:rFonts w:ascii="Times New Roman" w:hAnsi="Times New Roman"/>
                <w:sz w:val="24"/>
                <w:szCs w:val="24"/>
              </w:rPr>
            </w:pPr>
            <w:r w:rsidRPr="00814AFE">
              <w:rPr>
                <w:rFonts w:ascii="Times New Roman" w:hAnsi="Times New Roman"/>
                <w:sz w:val="24"/>
                <w:szCs w:val="24"/>
              </w:rPr>
              <w:t xml:space="preserve">2G/3G South; and </w:t>
            </w:r>
          </w:p>
          <w:p w14:paraId="4FAF16FC" w14:textId="70F6AE34" w:rsidR="009B423B" w:rsidRPr="00251A99" w:rsidRDefault="009B423B" w:rsidP="00251A99">
            <w:pPr>
              <w:pStyle w:val="definitionsub"/>
              <w:spacing w:after="240"/>
              <w:rPr>
                <w:rFonts w:ascii="Times New Roman" w:hAnsi="Times New Roman"/>
                <w:sz w:val="24"/>
                <w:szCs w:val="24"/>
              </w:rPr>
            </w:pPr>
            <w:r w:rsidRPr="00251A99">
              <w:rPr>
                <w:rFonts w:ascii="Times New Roman" w:hAnsi="Times New Roman"/>
                <w:sz w:val="24"/>
                <w:szCs w:val="24"/>
              </w:rPr>
              <w:t>4G Central/South.</w:t>
            </w:r>
          </w:p>
        </w:tc>
      </w:tr>
      <w:tr w:rsidR="009B423B" w14:paraId="0C950CC6" w14:textId="77777777" w:rsidTr="259B84B3">
        <w:trPr>
          <w:cantSplit/>
        </w:trPr>
        <w:tc>
          <w:tcPr>
            <w:tcW w:w="0" w:type="auto"/>
          </w:tcPr>
          <w:p w14:paraId="11A4323C" w14:textId="1D93233E" w:rsidR="009B423B" w:rsidRDefault="009B423B" w:rsidP="009B423B">
            <w:pPr>
              <w:pStyle w:val="Body2"/>
              <w:spacing w:after="240" w:line="240" w:lineRule="auto"/>
              <w:ind w:left="0"/>
              <w:jc w:val="left"/>
              <w:rPr>
                <w:b/>
                <w:bCs/>
              </w:rPr>
            </w:pPr>
            <w:r>
              <w:rPr>
                <w:b/>
                <w:bCs/>
              </w:rPr>
              <w:t>Relevant Period</w:t>
            </w:r>
          </w:p>
        </w:tc>
        <w:tc>
          <w:tcPr>
            <w:tcW w:w="0" w:type="auto"/>
          </w:tcPr>
          <w:p w14:paraId="6327E550" w14:textId="30BBD0E0" w:rsidR="009B423B" w:rsidRDefault="009B423B" w:rsidP="009B423B">
            <w:pPr>
              <w:pStyle w:val="Body2"/>
              <w:spacing w:after="240" w:line="240" w:lineRule="auto"/>
              <w:ind w:left="0"/>
            </w:pPr>
            <w:r>
              <w:t>means the period of six months commencing on the date that Clause 10.1 takes effect.</w:t>
            </w:r>
          </w:p>
        </w:tc>
      </w:tr>
      <w:tr w:rsidR="00D452E3" w14:paraId="337EC5A7" w14:textId="77777777" w:rsidTr="259B84B3">
        <w:trPr>
          <w:cantSplit/>
        </w:trPr>
        <w:tc>
          <w:tcPr>
            <w:tcW w:w="0" w:type="auto"/>
          </w:tcPr>
          <w:p w14:paraId="712DD2F4" w14:textId="70A044EC" w:rsidR="00D452E3" w:rsidRDefault="00D452E3" w:rsidP="00D452E3">
            <w:pPr>
              <w:pStyle w:val="Body2"/>
              <w:spacing w:after="240" w:line="240" w:lineRule="auto"/>
              <w:ind w:left="0"/>
              <w:jc w:val="left"/>
              <w:rPr>
                <w:b/>
                <w:bCs/>
              </w:rPr>
            </w:pPr>
            <w:r>
              <w:rPr>
                <w:b/>
                <w:color w:val="000000"/>
              </w:rPr>
              <w:lastRenderedPageBreak/>
              <w:t>Remote Assessment</w:t>
            </w:r>
          </w:p>
        </w:tc>
        <w:tc>
          <w:tcPr>
            <w:tcW w:w="0" w:type="auto"/>
          </w:tcPr>
          <w:p w14:paraId="2DD46DE2" w14:textId="77777777" w:rsidR="00DD0C2F" w:rsidRDefault="00D452E3" w:rsidP="00D452E3">
            <w:pPr>
              <w:pStyle w:val="Body2"/>
              <w:spacing w:after="240" w:line="240" w:lineRule="auto"/>
              <w:ind w:left="0"/>
              <w:rPr>
                <w:color w:val="000000"/>
              </w:rPr>
            </w:pPr>
            <w:r w:rsidRPr="0014110B">
              <w:rPr>
                <w:color w:val="000000"/>
              </w:rPr>
              <w:t>means</w:t>
            </w:r>
            <w:r w:rsidR="00DD0C2F">
              <w:rPr>
                <w:color w:val="000000"/>
              </w:rPr>
              <w:t>:</w:t>
            </w:r>
          </w:p>
          <w:p w14:paraId="19F98D7D" w14:textId="77777777" w:rsidR="00D452E3" w:rsidRPr="002D07CC" w:rsidRDefault="00DD0C2F" w:rsidP="0087541E">
            <w:pPr>
              <w:pStyle w:val="definitionsub"/>
              <w:numPr>
                <w:ilvl w:val="1"/>
                <w:numId w:val="58"/>
              </w:numPr>
              <w:spacing w:after="240"/>
              <w:rPr>
                <w:rFonts w:ascii="Times New Roman" w:hAnsi="Times New Roman"/>
                <w:sz w:val="24"/>
                <w:szCs w:val="24"/>
              </w:rPr>
            </w:pPr>
            <w:r w:rsidRPr="002D07CC">
              <w:rPr>
                <w:rFonts w:ascii="Times New Roman" w:hAnsi="Times New Roman"/>
                <w:sz w:val="24"/>
                <w:szCs w:val="24"/>
              </w:rPr>
              <w:t xml:space="preserve">for a DCC Gateway HV Physical Connection or a DCC Gateway LV Connection </w:t>
            </w:r>
            <w:r w:rsidR="00D452E3" w:rsidRPr="002D07CC">
              <w:rPr>
                <w:rFonts w:ascii="Times New Roman" w:hAnsi="Times New Roman"/>
                <w:sz w:val="24"/>
                <w:szCs w:val="24"/>
              </w:rPr>
              <w:t>a remote, desk-based assessment of the location at which the DCC Gateway Connection is required to assess whether a Site Survey is required</w:t>
            </w:r>
            <w:r w:rsidR="001E4248" w:rsidRPr="002D07CC">
              <w:rPr>
                <w:rFonts w:ascii="Times New Roman" w:hAnsi="Times New Roman"/>
                <w:sz w:val="24"/>
                <w:szCs w:val="24"/>
              </w:rPr>
              <w:t>; or</w:t>
            </w:r>
          </w:p>
          <w:p w14:paraId="0602C651" w14:textId="72CCAD6C" w:rsidR="001E4248" w:rsidRDefault="002D07CC" w:rsidP="0087541E">
            <w:pPr>
              <w:pStyle w:val="definitionsub"/>
              <w:numPr>
                <w:ilvl w:val="1"/>
                <w:numId w:val="58"/>
              </w:numPr>
              <w:spacing w:after="240"/>
            </w:pPr>
            <w:r w:rsidRPr="002D07CC">
              <w:rPr>
                <w:rFonts w:ascii="Times New Roman" w:hAnsi="Times New Roman"/>
                <w:sz w:val="24"/>
                <w:szCs w:val="24"/>
              </w:rPr>
              <w:t xml:space="preserve">for a DCC Gateway HV Cloud Connection, a bandwidth eligibility check for the connection, noting Site Surveys </w:t>
            </w:r>
            <w:r w:rsidR="00565A21">
              <w:rPr>
                <w:rFonts w:ascii="Times New Roman" w:hAnsi="Times New Roman"/>
                <w:sz w:val="24"/>
                <w:szCs w:val="24"/>
              </w:rPr>
              <w:t>are</w:t>
            </w:r>
            <w:r w:rsidRPr="002D07CC">
              <w:rPr>
                <w:rFonts w:ascii="Times New Roman" w:hAnsi="Times New Roman"/>
                <w:sz w:val="24"/>
                <w:szCs w:val="24"/>
              </w:rPr>
              <w:t xml:space="preserve"> not carried out for DCC Gateway HV Cloud Connections.</w:t>
            </w:r>
          </w:p>
        </w:tc>
      </w:tr>
      <w:tr w:rsidR="00D452E3" w14:paraId="6389AFA6" w14:textId="77777777" w:rsidTr="259B84B3">
        <w:trPr>
          <w:cantSplit/>
        </w:trPr>
        <w:tc>
          <w:tcPr>
            <w:tcW w:w="0" w:type="auto"/>
          </w:tcPr>
          <w:p w14:paraId="1E6298C9" w14:textId="7B109C98" w:rsidR="00D452E3" w:rsidRDefault="00D452E3" w:rsidP="00D452E3">
            <w:pPr>
              <w:pStyle w:val="Body2"/>
              <w:spacing w:after="240" w:line="240" w:lineRule="auto"/>
              <w:ind w:left="0"/>
              <w:jc w:val="left"/>
              <w:rPr>
                <w:b/>
                <w:bCs/>
              </w:rPr>
            </w:pPr>
            <w:r w:rsidRPr="349B0CB3">
              <w:rPr>
                <w:b/>
                <w:bCs/>
                <w:color w:val="000000" w:themeColor="text1"/>
              </w:rPr>
              <w:t>Site-Specific Design</w:t>
            </w:r>
          </w:p>
        </w:tc>
        <w:tc>
          <w:tcPr>
            <w:tcW w:w="0" w:type="auto"/>
          </w:tcPr>
          <w:p w14:paraId="478C118A" w14:textId="47546B3F" w:rsidR="00D452E3" w:rsidRDefault="00D452E3" w:rsidP="00D452E3">
            <w:pPr>
              <w:pStyle w:val="Body2"/>
              <w:spacing w:after="240" w:line="240" w:lineRule="auto"/>
              <w:ind w:left="0"/>
            </w:pPr>
            <w:r>
              <w:rPr>
                <w:color w:val="000000" w:themeColor="text1"/>
              </w:rPr>
              <w:t>m</w:t>
            </w:r>
            <w:r w:rsidRPr="349B0CB3">
              <w:rPr>
                <w:color w:val="000000" w:themeColor="text1"/>
              </w:rPr>
              <w:t xml:space="preserve">eans the network </w:t>
            </w:r>
            <w:r>
              <w:rPr>
                <w:color w:val="000000" w:themeColor="text1"/>
              </w:rPr>
              <w:t>design produced by the DCC based on</w:t>
            </w:r>
            <w:r w:rsidRPr="349B0CB3">
              <w:rPr>
                <w:color w:val="000000" w:themeColor="text1"/>
              </w:rPr>
              <w:t xml:space="preserve"> the DCC Gateway Party’s existing infrastructure, requirements and chosen DCC Gateway Connection Type and DCC Gateway Connection Option.</w:t>
            </w:r>
          </w:p>
        </w:tc>
      </w:tr>
      <w:tr w:rsidR="00D452E3" w14:paraId="5A632752" w14:textId="77777777" w:rsidTr="259B84B3">
        <w:trPr>
          <w:cantSplit/>
        </w:trPr>
        <w:tc>
          <w:tcPr>
            <w:tcW w:w="0" w:type="auto"/>
          </w:tcPr>
          <w:p w14:paraId="7595F0AE" w14:textId="0CA31A25" w:rsidR="00D452E3" w:rsidRDefault="00D452E3" w:rsidP="00D452E3">
            <w:pPr>
              <w:pStyle w:val="Body2"/>
              <w:spacing w:after="240" w:line="240" w:lineRule="auto"/>
              <w:ind w:left="0"/>
              <w:jc w:val="left"/>
              <w:rPr>
                <w:b/>
                <w:bCs/>
              </w:rPr>
            </w:pPr>
            <w:r>
              <w:rPr>
                <w:b/>
                <w:bCs/>
                <w:color w:val="000000" w:themeColor="text1"/>
              </w:rPr>
              <w:t>Site-Specific Risk Assessment</w:t>
            </w:r>
          </w:p>
        </w:tc>
        <w:tc>
          <w:tcPr>
            <w:tcW w:w="0" w:type="auto"/>
          </w:tcPr>
          <w:p w14:paraId="143F45BD" w14:textId="682EB124" w:rsidR="00D452E3" w:rsidRDefault="00D452E3" w:rsidP="00D452E3">
            <w:pPr>
              <w:pStyle w:val="Body2"/>
              <w:spacing w:after="240" w:line="240" w:lineRule="auto"/>
              <w:ind w:left="0"/>
            </w:pPr>
            <w:r w:rsidRPr="0006205A">
              <w:rPr>
                <w:color w:val="000000"/>
              </w:rPr>
              <w:t xml:space="preserve">means </w:t>
            </w:r>
            <w:r w:rsidRPr="00CA3021">
              <w:rPr>
                <w:color w:val="000000"/>
              </w:rPr>
              <w:t>for DCC Gateway LV Connections and DCC Gateway HV Physical Connections</w:t>
            </w:r>
            <w:r>
              <w:rPr>
                <w:color w:val="000000"/>
              </w:rPr>
              <w:t>,</w:t>
            </w:r>
            <w:r w:rsidRPr="00CA3021">
              <w:rPr>
                <w:color w:val="000000"/>
              </w:rPr>
              <w:t xml:space="preserve"> </w:t>
            </w:r>
            <w:r w:rsidRPr="0006205A">
              <w:rPr>
                <w:color w:val="000000"/>
              </w:rPr>
              <w:t xml:space="preserve">a risk assessment to identify and control risks, and facilitate planning </w:t>
            </w:r>
            <w:proofErr w:type="gramStart"/>
            <w:r w:rsidRPr="0006205A">
              <w:rPr>
                <w:color w:val="000000"/>
              </w:rPr>
              <w:t>in order to</w:t>
            </w:r>
            <w:proofErr w:type="gramEnd"/>
            <w:r w:rsidRPr="0006205A">
              <w:rPr>
                <w:color w:val="000000"/>
              </w:rPr>
              <w:t xml:space="preserve"> minimise disruptions to the installation of DCC Gateway Equipment</w:t>
            </w:r>
            <w:r>
              <w:rPr>
                <w:color w:val="000000"/>
              </w:rPr>
              <w:t>.</w:t>
            </w:r>
          </w:p>
        </w:tc>
      </w:tr>
      <w:tr w:rsidR="00D452E3" w14:paraId="694FFC62" w14:textId="77777777" w:rsidTr="259B84B3">
        <w:trPr>
          <w:cantSplit/>
        </w:trPr>
        <w:tc>
          <w:tcPr>
            <w:tcW w:w="0" w:type="auto"/>
          </w:tcPr>
          <w:p w14:paraId="79D67965" w14:textId="624E98A7" w:rsidR="00D452E3" w:rsidRDefault="00D452E3" w:rsidP="00D452E3">
            <w:pPr>
              <w:pStyle w:val="Body2"/>
              <w:spacing w:after="240" w:line="240" w:lineRule="auto"/>
              <w:ind w:left="0"/>
              <w:jc w:val="left"/>
              <w:rPr>
                <w:b/>
                <w:bCs/>
              </w:rPr>
            </w:pPr>
            <w:r w:rsidRPr="0014110B">
              <w:rPr>
                <w:b/>
                <w:color w:val="000000"/>
              </w:rPr>
              <w:t>Site Survey</w:t>
            </w:r>
          </w:p>
        </w:tc>
        <w:tc>
          <w:tcPr>
            <w:tcW w:w="0" w:type="auto"/>
          </w:tcPr>
          <w:p w14:paraId="33FC18CB" w14:textId="7C43320E" w:rsidR="00D452E3" w:rsidRDefault="00D452E3" w:rsidP="00D452E3">
            <w:pPr>
              <w:pStyle w:val="Body2"/>
              <w:spacing w:after="240" w:line="240" w:lineRule="auto"/>
              <w:ind w:left="0"/>
            </w:pPr>
            <w:r w:rsidRPr="0014110B">
              <w:rPr>
                <w:color w:val="000000"/>
              </w:rPr>
              <w:t xml:space="preserve">means a physical assessment of the location at which the DCC Gateway Connection is required, to assess whether any Enabling Works are required inside and/or outside the DCC Gateway Party’s premises and to detail preparatory works to be carried out by the DCC Gateway Party to be reflected in the offer made pursuant to </w:t>
            </w:r>
            <w:r>
              <w:rPr>
                <w:color w:val="000000"/>
              </w:rPr>
              <w:t xml:space="preserve">Clause </w:t>
            </w:r>
            <w:r w:rsidRPr="0014110B">
              <w:rPr>
                <w:color w:val="000000"/>
              </w:rPr>
              <w:t>15.</w:t>
            </w:r>
            <w:r>
              <w:rPr>
                <w:color w:val="000000"/>
              </w:rPr>
              <w:t>22 of this NETMAD or Clause H15.12 of Annex 2 of this NETMAD</w:t>
            </w:r>
            <w:r w:rsidRPr="0014110B">
              <w:rPr>
                <w:color w:val="000000"/>
              </w:rPr>
              <w:t>.</w:t>
            </w:r>
          </w:p>
        </w:tc>
      </w:tr>
      <w:tr w:rsidR="00D452E3" w14:paraId="7C212CB4" w14:textId="77777777" w:rsidTr="259B84B3">
        <w:trPr>
          <w:cantSplit/>
        </w:trPr>
        <w:tc>
          <w:tcPr>
            <w:tcW w:w="0" w:type="auto"/>
          </w:tcPr>
          <w:p w14:paraId="685C4BA0" w14:textId="036D3A7E" w:rsidR="00D452E3" w:rsidRDefault="00D452E3" w:rsidP="00D452E3">
            <w:pPr>
              <w:pStyle w:val="Body2"/>
              <w:spacing w:after="240" w:line="240" w:lineRule="auto"/>
              <w:ind w:left="0"/>
              <w:jc w:val="left"/>
              <w:rPr>
                <w:b/>
                <w:bCs/>
              </w:rPr>
            </w:pPr>
            <w:r>
              <w:rPr>
                <w:b/>
                <w:bCs/>
              </w:rPr>
              <w:t>SMETS2+ SM WAN</w:t>
            </w:r>
          </w:p>
        </w:tc>
        <w:tc>
          <w:tcPr>
            <w:tcW w:w="0" w:type="auto"/>
          </w:tcPr>
          <w:p w14:paraId="37CE3056" w14:textId="1069B63D" w:rsidR="00D452E3" w:rsidRDefault="00D452E3" w:rsidP="00D452E3">
            <w:pPr>
              <w:pStyle w:val="Body2"/>
              <w:spacing w:after="240" w:line="240" w:lineRule="auto"/>
              <w:ind w:left="0"/>
            </w:pPr>
            <w:r>
              <w:t xml:space="preserve">means </w:t>
            </w:r>
            <w:proofErr w:type="gramStart"/>
            <w:r>
              <w:t>the means by which</w:t>
            </w:r>
            <w:proofErr w:type="gramEnd"/>
            <w:r>
              <w:t xml:space="preserve"> the DCC sends, receives and conveys communications to and from SMETS2+ Communications Hub Functions. The Communications Technology utilised for these purposes may differ from Region to Region, and there may be more than one Communications Technology utilised within a Geographical Region.</w:t>
            </w:r>
          </w:p>
        </w:tc>
      </w:tr>
      <w:tr w:rsidR="00D452E3" w14:paraId="290AFAB3" w14:textId="77777777" w:rsidTr="259B84B3">
        <w:trPr>
          <w:cantSplit/>
        </w:trPr>
        <w:tc>
          <w:tcPr>
            <w:tcW w:w="0" w:type="auto"/>
          </w:tcPr>
          <w:p w14:paraId="444AE9B5" w14:textId="6E9BF2B3" w:rsidR="00D452E3" w:rsidRDefault="00D452E3" w:rsidP="00D452E3">
            <w:pPr>
              <w:pStyle w:val="Body2"/>
              <w:spacing w:after="240" w:line="240" w:lineRule="auto"/>
              <w:ind w:left="0"/>
              <w:jc w:val="left"/>
              <w:rPr>
                <w:b/>
                <w:bCs/>
              </w:rPr>
            </w:pPr>
            <w:r w:rsidRPr="003607CE">
              <w:rPr>
                <w:b/>
                <w:bCs/>
              </w:rPr>
              <w:t>Special Installation Mesh Communications Hub</w:t>
            </w:r>
          </w:p>
        </w:tc>
        <w:tc>
          <w:tcPr>
            <w:tcW w:w="0" w:type="auto"/>
          </w:tcPr>
          <w:p w14:paraId="08F48E7D" w14:textId="029CCBD2" w:rsidR="00D452E3" w:rsidRDefault="00D452E3" w:rsidP="00D452E3">
            <w:pPr>
              <w:pStyle w:val="Body2"/>
              <w:spacing w:after="240" w:line="240" w:lineRule="auto"/>
              <w:ind w:left="0"/>
            </w:pPr>
            <w:r>
              <w:t>means a WAN Variant which is distinguishable from a standard Mesh Communications Hub by the existence of an additional external aerial port. These WAN Variants are only used for 2G/3G Central and 2G/3G South.</w:t>
            </w:r>
          </w:p>
        </w:tc>
      </w:tr>
      <w:tr w:rsidR="00D452E3" w14:paraId="7E7B11EC" w14:textId="77777777" w:rsidTr="259B84B3">
        <w:trPr>
          <w:cantSplit/>
        </w:trPr>
        <w:tc>
          <w:tcPr>
            <w:tcW w:w="0" w:type="auto"/>
          </w:tcPr>
          <w:p w14:paraId="27BCC9B8" w14:textId="6F93973F" w:rsidR="00D452E3" w:rsidRDefault="00D452E3" w:rsidP="00D452E3">
            <w:pPr>
              <w:pStyle w:val="Body2"/>
              <w:spacing w:after="240" w:line="240" w:lineRule="auto"/>
              <w:ind w:left="0"/>
              <w:jc w:val="left"/>
              <w:rPr>
                <w:b/>
                <w:bCs/>
              </w:rPr>
            </w:pPr>
            <w:r w:rsidRPr="00130853">
              <w:rPr>
                <w:b/>
                <w:bCs/>
              </w:rPr>
              <w:lastRenderedPageBreak/>
              <w:t>Transitional 4G C</w:t>
            </w:r>
            <w:r>
              <w:rPr>
                <w:b/>
                <w:bCs/>
              </w:rPr>
              <w:t xml:space="preserve">ommunications </w:t>
            </w:r>
            <w:r w:rsidRPr="00130853">
              <w:rPr>
                <w:b/>
                <w:bCs/>
              </w:rPr>
              <w:t>H</w:t>
            </w:r>
            <w:r>
              <w:rPr>
                <w:b/>
                <w:bCs/>
              </w:rPr>
              <w:t>ub</w:t>
            </w:r>
            <w:r w:rsidRPr="00130853">
              <w:rPr>
                <w:b/>
                <w:bCs/>
              </w:rPr>
              <w:t xml:space="preserve"> Forecasting and Ordering Period  </w:t>
            </w:r>
          </w:p>
        </w:tc>
        <w:tc>
          <w:tcPr>
            <w:tcW w:w="0" w:type="auto"/>
          </w:tcPr>
          <w:p w14:paraId="10935045" w14:textId="7A1F339F" w:rsidR="00D452E3" w:rsidRDefault="00D452E3" w:rsidP="00D452E3">
            <w:pPr>
              <w:pStyle w:val="Body2"/>
              <w:spacing w:after="240" w:line="240" w:lineRule="auto"/>
              <w:ind w:left="0"/>
            </w:pPr>
            <w:r w:rsidRPr="00D1791D">
              <w:t xml:space="preserve">has the meaning given to that expression in </w:t>
            </w:r>
            <w:r>
              <w:t>Clause</w:t>
            </w:r>
            <w:r w:rsidRPr="00D1791D">
              <w:t xml:space="preserve"> </w:t>
            </w:r>
            <w:r>
              <w:t>6.1 of this NETMAD</w:t>
            </w:r>
            <w:r w:rsidRPr="00D1791D">
              <w:t>.</w:t>
            </w:r>
          </w:p>
        </w:tc>
      </w:tr>
      <w:tr w:rsidR="00D452E3" w14:paraId="2F6346C3" w14:textId="77777777" w:rsidTr="259B84B3">
        <w:trPr>
          <w:cantSplit/>
        </w:trPr>
        <w:tc>
          <w:tcPr>
            <w:tcW w:w="0" w:type="auto"/>
          </w:tcPr>
          <w:p w14:paraId="20445BA3" w14:textId="31828F6B" w:rsidR="00D452E3" w:rsidRPr="00130853" w:rsidRDefault="00D452E3" w:rsidP="00D452E3">
            <w:pPr>
              <w:pStyle w:val="Body2"/>
              <w:spacing w:after="240" w:line="240" w:lineRule="auto"/>
              <w:ind w:left="0"/>
              <w:jc w:val="left"/>
              <w:rPr>
                <w:b/>
                <w:bCs/>
              </w:rPr>
            </w:pPr>
            <w:r>
              <w:rPr>
                <w:b/>
                <w:bCs/>
              </w:rPr>
              <w:t>Trust Centre Swap out Visit (TCSO Visit)</w:t>
            </w:r>
          </w:p>
        </w:tc>
        <w:tc>
          <w:tcPr>
            <w:tcW w:w="0" w:type="auto"/>
          </w:tcPr>
          <w:p w14:paraId="797C44AB" w14:textId="78C4CEF7" w:rsidR="00D452E3" w:rsidRPr="00D1791D" w:rsidRDefault="00D452E3" w:rsidP="00D452E3">
            <w:pPr>
              <w:pStyle w:val="Body2"/>
              <w:spacing w:after="240" w:line="240" w:lineRule="auto"/>
              <w:ind w:left="0"/>
            </w:pPr>
            <w:r>
              <w:t>means a visit to Designated Premises or Domestic Premises made by a Large Supplier Party (or their representative or agent) for the purposes of replacing a SMETS2+ Communications Hub installed at the premises with another SMETS2+ Communications Hub.</w:t>
            </w:r>
          </w:p>
        </w:tc>
      </w:tr>
      <w:tr w:rsidR="00D452E3" w14:paraId="4BE46963" w14:textId="77777777" w:rsidTr="259B84B3">
        <w:trPr>
          <w:cantSplit/>
        </w:trPr>
        <w:tc>
          <w:tcPr>
            <w:tcW w:w="0" w:type="auto"/>
          </w:tcPr>
          <w:p w14:paraId="287680BB" w14:textId="778D35C5" w:rsidR="00D452E3" w:rsidRDefault="00D452E3" w:rsidP="00D452E3">
            <w:pPr>
              <w:pStyle w:val="Body2"/>
              <w:spacing w:after="240" w:line="240" w:lineRule="auto"/>
              <w:ind w:left="0"/>
              <w:jc w:val="left"/>
              <w:rPr>
                <w:b/>
                <w:bCs/>
              </w:rPr>
            </w:pPr>
            <w:r w:rsidRPr="7D2F26FD">
              <w:rPr>
                <w:b/>
                <w:bCs/>
                <w:color w:val="000000" w:themeColor="text1"/>
              </w:rPr>
              <w:t>Underlay (Circuit)</w:t>
            </w:r>
          </w:p>
        </w:tc>
        <w:tc>
          <w:tcPr>
            <w:tcW w:w="0" w:type="auto"/>
          </w:tcPr>
          <w:p w14:paraId="7F54B7C8" w14:textId="77777777" w:rsidR="00D452E3" w:rsidRPr="007947D4" w:rsidRDefault="00D452E3" w:rsidP="00D452E3">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color w:val="000000" w:themeColor="text1"/>
              </w:rPr>
            </w:pPr>
            <w:r w:rsidRPr="007947D4">
              <w:rPr>
                <w:color w:val="000000" w:themeColor="text1"/>
              </w:rPr>
              <w:t>means:</w:t>
            </w:r>
          </w:p>
          <w:p w14:paraId="18DE2652" w14:textId="77777777" w:rsidR="00D452E3" w:rsidRPr="002A0B7F" w:rsidRDefault="00D452E3" w:rsidP="002A0B7F">
            <w:pPr>
              <w:pStyle w:val="definitionsub"/>
              <w:numPr>
                <w:ilvl w:val="1"/>
                <w:numId w:val="62"/>
              </w:numPr>
              <w:spacing w:after="240"/>
              <w:rPr>
                <w:rFonts w:ascii="Times New Roman" w:hAnsi="Times New Roman"/>
                <w:sz w:val="24"/>
                <w:szCs w:val="24"/>
              </w:rPr>
            </w:pPr>
            <w:r w:rsidRPr="002A0B7F">
              <w:rPr>
                <w:rFonts w:ascii="Times New Roman" w:hAnsi="Times New Roman"/>
                <w:sz w:val="24"/>
                <w:szCs w:val="24"/>
              </w:rPr>
              <w:t>for a DCC Gateway HV Physical Connection or a DCC Gateway LV Connection, the physical router, fibre, connectivity and multiprotocol label switching which together provide connectivity for the connection; or</w:t>
            </w:r>
          </w:p>
          <w:p w14:paraId="65356158" w14:textId="0652283B" w:rsidR="00D452E3" w:rsidRPr="00202986" w:rsidRDefault="00D452E3" w:rsidP="00D452E3">
            <w:pPr>
              <w:pStyle w:val="definitionsub"/>
              <w:spacing w:after="240"/>
              <w:rPr>
                <w:rFonts w:ascii="Times New Roman" w:hAnsi="Times New Roman"/>
                <w:color w:val="000000" w:themeColor="text1"/>
              </w:rPr>
            </w:pPr>
            <w:r w:rsidRPr="00202986">
              <w:rPr>
                <w:rFonts w:ascii="Times New Roman" w:hAnsi="Times New Roman"/>
                <w:sz w:val="24"/>
                <w:szCs w:val="24"/>
              </w:rPr>
              <w:t>for a DCC Gateway HV Cloud Connection, the private network connection or equivalent that would provide the circuit to the connection.</w:t>
            </w:r>
          </w:p>
        </w:tc>
      </w:tr>
    </w:tbl>
    <w:p w14:paraId="44BB35C6" w14:textId="77777777" w:rsidR="00801D98" w:rsidRDefault="00801D98" w:rsidP="00F52672">
      <w:pPr>
        <w:pStyle w:val="Heading2"/>
        <w:numPr>
          <w:ilvl w:val="0"/>
          <w:numId w:val="0"/>
        </w:numPr>
        <w:ind w:left="709"/>
      </w:pPr>
    </w:p>
    <w:p w14:paraId="5D0AD6CD" w14:textId="77777777" w:rsidR="00801D98" w:rsidRDefault="00B74FA3">
      <w:pPr>
        <w:pStyle w:val="Heading2"/>
        <w:rPr>
          <w:b/>
        </w:rPr>
      </w:pPr>
      <w:bookmarkStart w:id="8" w:name="_Toc219897036"/>
      <w:r>
        <w:t>Additionally, where defined terms from specific parts of the Code are used, the relevant part of the Code is stated. Where no specific part of the Code is stated, a defined term shall have its Section A (Definitions and Interpretation) meaning.</w:t>
      </w:r>
      <w:bookmarkEnd w:id="8"/>
      <w:r>
        <w:t xml:space="preserve"> </w:t>
      </w:r>
    </w:p>
    <w:p w14:paraId="03DF6991" w14:textId="77777777" w:rsidR="00801D98" w:rsidRDefault="00B74FA3">
      <w:pPr>
        <w:pStyle w:val="Heading1"/>
        <w:rPr>
          <w:rFonts w:ascii="Times New Roman" w:hAnsi="Times New Roman" w:cs="Times New Roman"/>
          <w:szCs w:val="24"/>
        </w:rPr>
      </w:pPr>
      <w:bookmarkStart w:id="9" w:name="_Toc219897037"/>
      <w:bookmarkStart w:id="10" w:name="_Toc219900421"/>
      <w:r>
        <w:rPr>
          <w:rFonts w:ascii="Times New Roman" w:hAnsi="Times New Roman" w:cs="Times New Roman"/>
          <w:szCs w:val="24"/>
        </w:rPr>
        <w:t>Coverage Checker</w:t>
      </w:r>
      <w:bookmarkEnd w:id="9"/>
      <w:bookmarkEnd w:id="10"/>
    </w:p>
    <w:p w14:paraId="2CE19327" w14:textId="6CA330B4" w:rsidR="00801D98" w:rsidRDefault="00233BB7">
      <w:pPr>
        <w:pStyle w:val="Heading2"/>
      </w:pPr>
      <w:bookmarkStart w:id="11" w:name="_Toc219897038"/>
      <w:r>
        <w:t xml:space="preserve">Prior to </w:t>
      </w:r>
      <w:r w:rsidR="00B74FA3">
        <w:t xml:space="preserve">the “LSC: Go-Live decision” JIP Milestone being met, the DCC shall make available to each Supplier Party through the DCC’s Microsoft SharePoint a searchable database with the capability to interrogate by post code and postal </w:t>
      </w:r>
      <w:proofErr w:type="spellStart"/>
      <w:r w:rsidR="00B74FA3">
        <w:t>outcode</w:t>
      </w:r>
      <w:proofErr w:type="spellEnd"/>
      <w:r w:rsidR="00B74FA3">
        <w:t xml:space="preserve"> whether a 4G Communications Hub installed in a premise at any given location:</w:t>
      </w:r>
      <w:bookmarkEnd w:id="11"/>
    </w:p>
    <w:p w14:paraId="64D710D6" w14:textId="55539733" w:rsidR="00801D98" w:rsidRDefault="00B74FA3">
      <w:pPr>
        <w:pStyle w:val="Heading3"/>
      </w:pPr>
      <w:bookmarkStart w:id="12" w:name="_Toc219897039"/>
      <w:r>
        <w:t xml:space="preserve">is expected to be able to connect to the 4G SM WAN from the start of the Initial Pallet Validation </w:t>
      </w:r>
      <w:r w:rsidR="003F1E74">
        <w:t>S</w:t>
      </w:r>
      <w:r>
        <w:t>tage; or</w:t>
      </w:r>
      <w:bookmarkEnd w:id="12"/>
    </w:p>
    <w:p w14:paraId="29ADE17F" w14:textId="580419DC" w:rsidR="00801D98" w:rsidRDefault="00B74FA3">
      <w:pPr>
        <w:pStyle w:val="Heading3"/>
      </w:pPr>
      <w:bookmarkStart w:id="13" w:name="_Toc219897040"/>
      <w:r>
        <w:t xml:space="preserve">cannot be confirmed as being expected to be able to connect to the 4G SM WAN from the start of the Initial Pallet Validation </w:t>
      </w:r>
      <w:r w:rsidR="00FF7FB8">
        <w:t>S</w:t>
      </w:r>
      <w:r>
        <w:t>tage.</w:t>
      </w:r>
      <w:bookmarkEnd w:id="13"/>
      <w:r>
        <w:t xml:space="preserve"> </w:t>
      </w:r>
    </w:p>
    <w:p w14:paraId="0EB0935D" w14:textId="1A1E9561" w:rsidR="00801D98" w:rsidRDefault="00B74FA3">
      <w:pPr>
        <w:pStyle w:val="Heading2"/>
      </w:pPr>
      <w:bookmarkStart w:id="14" w:name="_Toc219897041"/>
      <w:r>
        <w:t xml:space="preserve">The database provided pursuant to Clause 3.1 shall be </w:t>
      </w:r>
      <w:r w:rsidR="002E1FBF" w:rsidRPr="004D3C87">
        <w:t xml:space="preserve">a CSV file which is searchable by users at postcode and </w:t>
      </w:r>
      <w:proofErr w:type="spellStart"/>
      <w:r w:rsidR="002E1FBF" w:rsidRPr="004D3C87">
        <w:t>outcode</w:t>
      </w:r>
      <w:proofErr w:type="spellEnd"/>
      <w:r w:rsidR="002E1FBF" w:rsidRPr="004D3C87">
        <w:t xml:space="preserve"> level</w:t>
      </w:r>
      <w:r>
        <w:t xml:space="preserve"> and shall be kept up to date. Whenever the DCC </w:t>
      </w:r>
      <w:r>
        <w:lastRenderedPageBreak/>
        <w:t>makes available an updated version of the database it shall notify each Supplier Party that it has done so.</w:t>
      </w:r>
      <w:bookmarkEnd w:id="14"/>
    </w:p>
    <w:p w14:paraId="2712228A" w14:textId="77777777" w:rsidR="00801D98" w:rsidRDefault="00B74FA3">
      <w:pPr>
        <w:pStyle w:val="Heading1"/>
        <w:rPr>
          <w:rFonts w:ascii="Times New Roman" w:hAnsi="Times New Roman" w:cs="Times New Roman"/>
          <w:szCs w:val="24"/>
        </w:rPr>
      </w:pPr>
      <w:bookmarkStart w:id="15" w:name="_Toc219897042"/>
      <w:bookmarkStart w:id="16" w:name="_Toc219900422"/>
      <w:r>
        <w:t>Initial Pallet Validation</w:t>
      </w:r>
      <w:bookmarkEnd w:id="15"/>
      <w:bookmarkEnd w:id="16"/>
    </w:p>
    <w:p w14:paraId="7DC3D41B" w14:textId="1CFE5112" w:rsidR="00801D98" w:rsidRDefault="00B74FA3">
      <w:pPr>
        <w:pStyle w:val="Heading2"/>
      </w:pPr>
      <w:bookmarkStart w:id="17" w:name="_Toc219897043"/>
      <w:r>
        <w:t>A Supplier Party shall not enrol a Smart Metering System incorporating a 4G Communications Hub prior to the commencement of the Initial Pallet Validation Stage.</w:t>
      </w:r>
      <w:bookmarkEnd w:id="17"/>
    </w:p>
    <w:p w14:paraId="56E1F079" w14:textId="0D37D23F" w:rsidR="00CD73D3" w:rsidRPr="00CD73D3" w:rsidRDefault="00B74FA3" w:rsidP="00CC22A6">
      <w:pPr>
        <w:pStyle w:val="Heading2"/>
      </w:pPr>
      <w:bookmarkStart w:id="18" w:name="_Toc219897044"/>
      <w:r>
        <w:t xml:space="preserve">Each Supplier Party shall provide any information that the DCC reasonably requests </w:t>
      </w:r>
      <w:proofErr w:type="gramStart"/>
      <w:r>
        <w:t>in order to</w:t>
      </w:r>
      <w:proofErr w:type="gramEnd"/>
      <w:r>
        <w:t xml:space="preserve"> support the planning, coordination and undertaking of Initial Pallet Validation.</w:t>
      </w:r>
      <w:bookmarkEnd w:id="18"/>
    </w:p>
    <w:p w14:paraId="5DA317D2" w14:textId="77777777" w:rsidR="00801D98" w:rsidRDefault="00B74FA3">
      <w:pPr>
        <w:pStyle w:val="Body2"/>
        <w:ind w:left="360"/>
        <w:rPr>
          <w:b/>
          <w:bCs/>
          <w:u w:val="single"/>
        </w:rPr>
      </w:pPr>
      <w:r>
        <w:rPr>
          <w:b/>
          <w:bCs/>
          <w:u w:val="single"/>
        </w:rPr>
        <w:t>Initial Pallet Validation Approach Document</w:t>
      </w:r>
    </w:p>
    <w:p w14:paraId="54D5C09C" w14:textId="63447214" w:rsidR="00801D98" w:rsidRDefault="00302461" w:rsidP="00302461">
      <w:pPr>
        <w:pStyle w:val="Heading2"/>
        <w:numPr>
          <w:ilvl w:val="0"/>
          <w:numId w:val="0"/>
        </w:numPr>
        <w:ind w:left="720" w:hanging="720"/>
      </w:pPr>
      <w:bookmarkStart w:id="19" w:name="_Toc219897045"/>
      <w:r>
        <w:t xml:space="preserve">4.3 </w:t>
      </w:r>
      <w:r>
        <w:tab/>
      </w:r>
      <w:r w:rsidR="00B74FA3">
        <w:t>The DCC shall produce an Initial Pallet Validation Approach Document in accordance with Clause 4.</w:t>
      </w:r>
      <w:r w:rsidR="00CB0073">
        <w:t>4</w:t>
      </w:r>
      <w:r w:rsidR="00B74FA3">
        <w:t xml:space="preserve"> which shall include the following:</w:t>
      </w:r>
      <w:bookmarkEnd w:id="19"/>
    </w:p>
    <w:p w14:paraId="274AFB0A" w14:textId="77777777" w:rsidR="00801D98" w:rsidRDefault="00B74FA3">
      <w:pPr>
        <w:pStyle w:val="Heading3"/>
      </w:pPr>
      <w:bookmarkStart w:id="20" w:name="_Toc219897046"/>
      <w:r>
        <w:t xml:space="preserve">the entry criteria that are required to be met before </w:t>
      </w:r>
      <w:bookmarkStart w:id="21" w:name="_Hlk140062069"/>
      <w:r>
        <w:t xml:space="preserve">the Initial Pallet Validation </w:t>
      </w:r>
      <w:bookmarkEnd w:id="21"/>
      <w:r>
        <w:t xml:space="preserve">Stage can </w:t>
      </w:r>
      <w:proofErr w:type="gramStart"/>
      <w:r>
        <w:t>commence;</w:t>
      </w:r>
      <w:bookmarkEnd w:id="20"/>
      <w:proofErr w:type="gramEnd"/>
    </w:p>
    <w:p w14:paraId="028D645C" w14:textId="77777777" w:rsidR="00801D98" w:rsidRDefault="00B74FA3">
      <w:pPr>
        <w:pStyle w:val="Heading3"/>
      </w:pPr>
      <w:bookmarkStart w:id="22" w:name="_Toc219897047"/>
      <w:r>
        <w:t xml:space="preserve">the process for resolving Incidents occurring in respect of Services pertaining to the 4G mobile communications technology during the Initial Pallet Validation Stage, the applicable Incident thresholds that must not be exceeded </w:t>
      </w:r>
      <w:proofErr w:type="gramStart"/>
      <w:r>
        <w:t>in order for</w:t>
      </w:r>
      <w:proofErr w:type="gramEnd"/>
      <w:r>
        <w:t xml:space="preserve"> the Initial Pallet Validation Stage to complete successfully, and the process for excluding Incidents from counting towards those </w:t>
      </w:r>
      <w:proofErr w:type="gramStart"/>
      <w:r>
        <w:t>thresholds;</w:t>
      </w:r>
      <w:bookmarkEnd w:id="22"/>
      <w:proofErr w:type="gramEnd"/>
    </w:p>
    <w:p w14:paraId="054FD9F8" w14:textId="77777777" w:rsidR="00801D98" w:rsidRDefault="00B74FA3">
      <w:pPr>
        <w:pStyle w:val="Heading3"/>
      </w:pPr>
      <w:bookmarkStart w:id="23" w:name="_Toc219897048"/>
      <w:r>
        <w:t xml:space="preserve">the other exit criteria that are required to be met </w:t>
      </w:r>
      <w:proofErr w:type="gramStart"/>
      <w:r>
        <w:t>in order for</w:t>
      </w:r>
      <w:proofErr w:type="gramEnd"/>
      <w:r>
        <w:t xml:space="preserve"> the Initial Pallet Validation Stage to successfully complete, including the minimum activity that must be undertaken before the Initial Pallet Validation Stage can complete; and</w:t>
      </w:r>
      <w:bookmarkEnd w:id="23"/>
    </w:p>
    <w:p w14:paraId="6369A994" w14:textId="77777777" w:rsidR="00801D98" w:rsidRDefault="00B74FA3">
      <w:pPr>
        <w:pStyle w:val="Heading3"/>
      </w:pPr>
      <w:bookmarkStart w:id="24" w:name="_Toc219897049"/>
      <w:r>
        <w:t>matters to be included in the completion report for the Initial Pallet Validation Stage.</w:t>
      </w:r>
      <w:bookmarkEnd w:id="24"/>
    </w:p>
    <w:p w14:paraId="679B8339" w14:textId="5C2518DC" w:rsidR="00801D98" w:rsidRDefault="00F95C0D" w:rsidP="00F95C0D">
      <w:pPr>
        <w:pStyle w:val="Heading2"/>
        <w:numPr>
          <w:ilvl w:val="0"/>
          <w:numId w:val="0"/>
        </w:numPr>
        <w:ind w:left="720" w:hanging="720"/>
      </w:pPr>
      <w:bookmarkStart w:id="25" w:name="_Toc219897050"/>
      <w:r>
        <w:t>4.4</w:t>
      </w:r>
      <w:r>
        <w:tab/>
      </w:r>
      <w:r w:rsidR="00B74FA3">
        <w:t>The DCC shall submit a draft Initial Pallet Validation Approach Document to the Panel</w:t>
      </w:r>
      <w:r w:rsidR="00182E23">
        <w:t xml:space="preserve"> </w:t>
      </w:r>
      <w:r w:rsidR="00B74FA3">
        <w:t>for review as soon as reasonably practicable (and such submission by the DCC and review by the Panel may take place prior to this Clause 4.</w:t>
      </w:r>
      <w:r w:rsidR="00552395">
        <w:t>4</w:t>
      </w:r>
      <w:r w:rsidR="00B74FA3">
        <w:t xml:space="preserve"> coming into effect); and:</w:t>
      </w:r>
      <w:bookmarkEnd w:id="25"/>
    </w:p>
    <w:p w14:paraId="540604E9" w14:textId="728E3067" w:rsidR="00801D98" w:rsidRDefault="00B74FA3" w:rsidP="0087541E">
      <w:pPr>
        <w:pStyle w:val="Heading3"/>
        <w:numPr>
          <w:ilvl w:val="2"/>
          <w:numId w:val="38"/>
        </w:numPr>
      </w:pPr>
      <w:bookmarkStart w:id="26" w:name="_Toc219897051"/>
      <w:r>
        <w:t>where the Panel and the DCC can reach an agreement, the draft Initial Pallet Validation Approach Document shall be updated by the DCC as necessary and deemed to be final; or</w:t>
      </w:r>
      <w:bookmarkEnd w:id="26"/>
      <w:r>
        <w:t xml:space="preserve"> </w:t>
      </w:r>
    </w:p>
    <w:p w14:paraId="05F74B5F" w14:textId="53E3DF8B" w:rsidR="00801D98" w:rsidRDefault="00B74FA3">
      <w:pPr>
        <w:pStyle w:val="Heading3"/>
      </w:pPr>
      <w:bookmarkStart w:id="27" w:name="_Toc219897052"/>
      <w:r>
        <w:lastRenderedPageBreak/>
        <w:t>where the Panel and the DCC cannot reach an agreement, the matters of disagreement shall be referred by the DCC to the Secretary of State for determination. The Secretary of State’s decision on such matters shall be final and binding for the purposes of this Code and the draft Initial Pallet Validation Approach Document shall be updated by the DCC as necessary and deemed to be final.</w:t>
      </w:r>
      <w:bookmarkEnd w:id="27"/>
      <w:r>
        <w:t xml:space="preserve"> </w:t>
      </w:r>
    </w:p>
    <w:p w14:paraId="7B131E20" w14:textId="1EABA7EC" w:rsidR="00801D98" w:rsidRDefault="00E4129B" w:rsidP="00E4129B">
      <w:pPr>
        <w:pStyle w:val="Heading2"/>
        <w:numPr>
          <w:ilvl w:val="0"/>
          <w:numId w:val="0"/>
        </w:numPr>
        <w:ind w:left="720" w:hanging="720"/>
      </w:pPr>
      <w:bookmarkStart w:id="28" w:name="_Toc219897053"/>
      <w:r>
        <w:t>4.5</w:t>
      </w:r>
      <w:r>
        <w:tab/>
      </w:r>
      <w:r w:rsidR="00B74FA3">
        <w:t>Revisions to the Initial Pallet Validation Approach Document finalised pursuant to Clause 4.</w:t>
      </w:r>
      <w:r w:rsidR="00CB0073">
        <w:t>4</w:t>
      </w:r>
      <w:r w:rsidR="00B74FA3">
        <w:t>:</w:t>
      </w:r>
      <w:bookmarkEnd w:id="28"/>
    </w:p>
    <w:p w14:paraId="2777AEAF" w14:textId="5B7D4D77" w:rsidR="00801D98" w:rsidRDefault="00B74FA3" w:rsidP="0087541E">
      <w:pPr>
        <w:pStyle w:val="Heading3"/>
        <w:numPr>
          <w:ilvl w:val="2"/>
          <w:numId w:val="39"/>
        </w:numPr>
      </w:pPr>
      <w:bookmarkStart w:id="29" w:name="_Toc219897054"/>
      <w:r>
        <w:t>may, from time to time, be submitted by the DCC to the Panel in accordance with the provisions of Clause 4.</w:t>
      </w:r>
      <w:r w:rsidR="008916B1">
        <w:t>4</w:t>
      </w:r>
      <w:r>
        <w:t>, and the provisions of Clause 4.</w:t>
      </w:r>
      <w:r w:rsidR="008916B1">
        <w:t>4</w:t>
      </w:r>
      <w:r>
        <w:t xml:space="preserve"> shall apply (again) to the revised version of the document; or</w:t>
      </w:r>
      <w:bookmarkEnd w:id="29"/>
      <w:r>
        <w:t xml:space="preserve"> </w:t>
      </w:r>
    </w:p>
    <w:p w14:paraId="35752932" w14:textId="0199DF05" w:rsidR="00801D98" w:rsidRDefault="00B74FA3">
      <w:pPr>
        <w:pStyle w:val="Heading3"/>
      </w:pPr>
      <w:bookmarkStart w:id="30" w:name="_Toc219897055"/>
      <w:r>
        <w:t>shall be made by the DCC in accordance with any direction to do so issued by the Secretary of State. The DCC shall consult with the Panel concerning any such proposed revision in accordance with any direction to do so issued by the Secretary of State.</w:t>
      </w:r>
      <w:bookmarkEnd w:id="30"/>
    </w:p>
    <w:p w14:paraId="6ABA30CA" w14:textId="53AA6876" w:rsidR="00801D98" w:rsidRDefault="002D09A9" w:rsidP="75420E17">
      <w:pPr>
        <w:pStyle w:val="Heading2"/>
        <w:numPr>
          <w:ilvl w:val="0"/>
          <w:numId w:val="0"/>
        </w:numPr>
      </w:pPr>
      <w:bookmarkStart w:id="31" w:name="_Toc219897056"/>
      <w:r>
        <w:t>4.6</w:t>
      </w:r>
      <w:r>
        <w:tab/>
      </w:r>
      <w:r w:rsidR="00B74FA3">
        <w:t>The DCC shall comply with the Initial Pallet Validation Approach Document.</w:t>
      </w:r>
      <w:bookmarkEnd w:id="31"/>
    </w:p>
    <w:p w14:paraId="03EE961F" w14:textId="77777777" w:rsidR="00801D98" w:rsidRDefault="00B74FA3">
      <w:pPr>
        <w:pStyle w:val="Body2"/>
        <w:ind w:left="0" w:firstLine="720"/>
        <w:rPr>
          <w:b/>
          <w:bCs/>
          <w:u w:val="single"/>
        </w:rPr>
      </w:pPr>
      <w:r>
        <w:rPr>
          <w:b/>
          <w:bCs/>
          <w:u w:val="single"/>
        </w:rPr>
        <w:t>Start of Initial Pallet Validation</w:t>
      </w:r>
    </w:p>
    <w:p w14:paraId="7301C37A" w14:textId="6A585F7C" w:rsidR="00801D98" w:rsidRDefault="009F356B" w:rsidP="009F356B">
      <w:pPr>
        <w:pStyle w:val="Heading2"/>
        <w:numPr>
          <w:ilvl w:val="0"/>
          <w:numId w:val="0"/>
        </w:numPr>
        <w:ind w:left="720" w:hanging="720"/>
      </w:pPr>
      <w:bookmarkStart w:id="32" w:name="_Toc219897057"/>
      <w:r>
        <w:t>4.7</w:t>
      </w:r>
      <w:r>
        <w:tab/>
      </w:r>
      <w:r w:rsidR="00B74FA3">
        <w:t>Initial Pallet Validation shall only commence once the Panel has determined that the Initial Pallet Validation entry criteria have been met.</w:t>
      </w:r>
      <w:bookmarkEnd w:id="32"/>
    </w:p>
    <w:p w14:paraId="25B52392" w14:textId="77777777" w:rsidR="00801D98" w:rsidRDefault="00B74FA3">
      <w:pPr>
        <w:pStyle w:val="Body2"/>
        <w:ind w:left="720"/>
        <w:rPr>
          <w:b/>
          <w:bCs/>
          <w:u w:val="single"/>
        </w:rPr>
      </w:pPr>
      <w:r>
        <w:rPr>
          <w:b/>
          <w:bCs/>
          <w:u w:val="single"/>
        </w:rPr>
        <w:t>Completion of Initial Pallet Validation</w:t>
      </w:r>
    </w:p>
    <w:p w14:paraId="31226272" w14:textId="4EC68E75" w:rsidR="00801D98" w:rsidRDefault="00AA3371" w:rsidP="00AA3371">
      <w:pPr>
        <w:pStyle w:val="Heading2"/>
        <w:numPr>
          <w:ilvl w:val="0"/>
          <w:numId w:val="0"/>
        </w:numPr>
        <w:ind w:left="720" w:hanging="720"/>
      </w:pPr>
      <w:bookmarkStart w:id="33" w:name="_Toc219897058"/>
      <w:r>
        <w:t>4.8</w:t>
      </w:r>
      <w:r>
        <w:tab/>
      </w:r>
      <w:r w:rsidR="00B74FA3">
        <w:t>Initial Pallet Validation shall only complete once the Panel has determined that the exit criteria for completion as set out in the Initial Pallet Validation Approach Document have been met.</w:t>
      </w:r>
      <w:bookmarkEnd w:id="33"/>
      <w:r w:rsidR="00B74FA3">
        <w:t xml:space="preserve"> </w:t>
      </w:r>
    </w:p>
    <w:p w14:paraId="0F27710E" w14:textId="185F240C" w:rsidR="00801D98" w:rsidRDefault="00AA3371" w:rsidP="00AA3371">
      <w:pPr>
        <w:pStyle w:val="Heading2"/>
        <w:numPr>
          <w:ilvl w:val="0"/>
          <w:numId w:val="0"/>
        </w:numPr>
        <w:ind w:left="720" w:hanging="720"/>
      </w:pPr>
      <w:bookmarkStart w:id="34" w:name="_Toc219897059"/>
      <w:r>
        <w:t>4.9</w:t>
      </w:r>
      <w:r>
        <w:tab/>
      </w:r>
      <w:r w:rsidR="00B74FA3">
        <w:t>When the DCC considers that Initial Pallet Validation completion ought to occur, the DCC shall prepare a Completion Report. The DCC shall:</w:t>
      </w:r>
      <w:bookmarkEnd w:id="34"/>
    </w:p>
    <w:p w14:paraId="7728DE0E" w14:textId="77777777" w:rsidR="00801D98" w:rsidRDefault="00B74FA3" w:rsidP="0087541E">
      <w:pPr>
        <w:pStyle w:val="Heading3"/>
        <w:numPr>
          <w:ilvl w:val="2"/>
          <w:numId w:val="40"/>
        </w:numPr>
      </w:pPr>
      <w:bookmarkStart w:id="35" w:name="_Toc219897060"/>
      <w:r>
        <w:t xml:space="preserve">notify the Secretary of State, the Authority, the Panel, and the Parties that the DCC considers that Initial Pallet Validation has </w:t>
      </w:r>
      <w:proofErr w:type="gramStart"/>
      <w:r>
        <w:t>completed;</w:t>
      </w:r>
      <w:bookmarkEnd w:id="35"/>
      <w:proofErr w:type="gramEnd"/>
      <w:r>
        <w:t xml:space="preserve"> </w:t>
      </w:r>
    </w:p>
    <w:p w14:paraId="75DBB339" w14:textId="77777777" w:rsidR="00801D98" w:rsidRDefault="00B74FA3">
      <w:pPr>
        <w:pStyle w:val="Heading3"/>
      </w:pPr>
      <w:bookmarkStart w:id="36" w:name="_Toc219897061"/>
      <w:r>
        <w:t xml:space="preserve">provide the Authority, the Panel, and the Secretary of State with copies of the </w:t>
      </w:r>
      <w:r>
        <w:lastRenderedPageBreak/>
        <w:t>Completion Report and a list of the sections of such report that the DCC considers should be redacted prior to publication; and</w:t>
      </w:r>
      <w:bookmarkEnd w:id="36"/>
    </w:p>
    <w:p w14:paraId="08778088" w14:textId="78B2E64C" w:rsidR="00801D98" w:rsidRDefault="00B74FA3">
      <w:pPr>
        <w:pStyle w:val="Heading3"/>
      </w:pPr>
      <w:bookmarkStart w:id="37" w:name="_Toc219897062"/>
      <w:r>
        <w:t>review the supporting documentation and evidence with regards to the relevant exit criteria with the Panel.</w:t>
      </w:r>
      <w:bookmarkEnd w:id="37"/>
    </w:p>
    <w:p w14:paraId="6B8A8764" w14:textId="3241415D" w:rsidR="00801D98" w:rsidRDefault="00867D44" w:rsidP="00867D44">
      <w:pPr>
        <w:pStyle w:val="Heading2"/>
        <w:numPr>
          <w:ilvl w:val="0"/>
          <w:numId w:val="0"/>
        </w:numPr>
        <w:ind w:left="720" w:hanging="720"/>
      </w:pPr>
      <w:bookmarkStart w:id="38" w:name="_Toc219897063"/>
      <w:r>
        <w:t>4.10</w:t>
      </w:r>
      <w:r>
        <w:tab/>
      </w:r>
      <w:r w:rsidR="00B74FA3">
        <w:t>The Panel shall confirm the completion of Initial Pallet Validation or shall highlight where it believes the exit criteria have not been met.</w:t>
      </w:r>
      <w:bookmarkEnd w:id="38"/>
    </w:p>
    <w:p w14:paraId="3C790B0D" w14:textId="4D360F70" w:rsidR="00801D98" w:rsidRDefault="00867D44" w:rsidP="00867D44">
      <w:pPr>
        <w:pStyle w:val="Heading2"/>
        <w:numPr>
          <w:ilvl w:val="0"/>
          <w:numId w:val="0"/>
        </w:numPr>
        <w:ind w:left="720" w:hanging="720"/>
      </w:pPr>
      <w:bookmarkStart w:id="39" w:name="_Toc219897064"/>
      <w:r>
        <w:t>4.11</w:t>
      </w:r>
      <w:r>
        <w:tab/>
      </w:r>
      <w:r w:rsidR="00B74FA3">
        <w:t>Where the Panel confirms the completion of Initial Pallet Validation (subject to the Panel and the DCC reaching an agreement regarding resolution of any issues raised by the Panel)</w:t>
      </w:r>
      <w:r w:rsidR="00C3054C">
        <w:t>,</w:t>
      </w:r>
      <w:r w:rsidR="00B74FA3">
        <w:t xml:space="preserve"> the Completion Report shall be updated by the DCC as necessary and deemed to be final.</w:t>
      </w:r>
      <w:bookmarkEnd w:id="39"/>
      <w:r w:rsidR="00B74FA3">
        <w:t xml:space="preserve"> </w:t>
      </w:r>
    </w:p>
    <w:p w14:paraId="0AA9D827" w14:textId="5B018A75" w:rsidR="00801D98" w:rsidRDefault="00867D44" w:rsidP="00867D44">
      <w:pPr>
        <w:pStyle w:val="Heading2"/>
        <w:numPr>
          <w:ilvl w:val="0"/>
          <w:numId w:val="0"/>
        </w:numPr>
        <w:ind w:left="720" w:hanging="720"/>
      </w:pPr>
      <w:bookmarkStart w:id="40" w:name="_Toc219897065"/>
      <w:r>
        <w:t>4.12</w:t>
      </w:r>
      <w:r>
        <w:tab/>
      </w:r>
      <w:r w:rsidR="00B74FA3">
        <w:t>Where the Panel declines to confirm the completion of Initial Pallet Validation, the DCC shall update the relevant Completion Report to reflect resolution of any issues where the DCC and the Panel reached an agreement, and the DCC shall then either:</w:t>
      </w:r>
      <w:bookmarkEnd w:id="40"/>
      <w:r w:rsidR="00B74FA3">
        <w:t xml:space="preserve"> </w:t>
      </w:r>
    </w:p>
    <w:p w14:paraId="30D60F42" w14:textId="77777777" w:rsidR="00801D98" w:rsidRDefault="00B74FA3" w:rsidP="0087541E">
      <w:pPr>
        <w:pStyle w:val="Heading3"/>
        <w:numPr>
          <w:ilvl w:val="2"/>
          <w:numId w:val="41"/>
        </w:numPr>
      </w:pPr>
      <w:bookmarkStart w:id="41" w:name="_Toc219897066"/>
      <w:r>
        <w:t xml:space="preserve">refer the matters where the Panel and the DCC </w:t>
      </w:r>
      <w:proofErr w:type="gramStart"/>
      <w:r>
        <w:t>are in disagreement</w:t>
      </w:r>
      <w:proofErr w:type="gramEnd"/>
      <w:r>
        <w:t xml:space="preserve"> to the Secretary of State for determination; or</w:t>
      </w:r>
      <w:bookmarkEnd w:id="41"/>
    </w:p>
    <w:p w14:paraId="1F142E92" w14:textId="56FD488F" w:rsidR="00801D98" w:rsidRDefault="00B74FA3">
      <w:pPr>
        <w:pStyle w:val="Heading3"/>
      </w:pPr>
      <w:bookmarkStart w:id="42" w:name="_Toc219897067"/>
      <w:r>
        <w:t>continue with the Initial Pallet Validation Stage (and Clause 4.</w:t>
      </w:r>
      <w:r w:rsidR="005C25B7">
        <w:t>9</w:t>
      </w:r>
      <w:r>
        <w:t xml:space="preserve"> shall apply again).</w:t>
      </w:r>
      <w:bookmarkEnd w:id="42"/>
    </w:p>
    <w:p w14:paraId="644B577A" w14:textId="61EEBAE5" w:rsidR="00801D98" w:rsidRDefault="006F56C7" w:rsidP="006F56C7">
      <w:pPr>
        <w:pStyle w:val="Heading2"/>
        <w:numPr>
          <w:ilvl w:val="0"/>
          <w:numId w:val="0"/>
        </w:numPr>
        <w:ind w:left="720" w:hanging="720"/>
      </w:pPr>
      <w:bookmarkStart w:id="43" w:name="_Toc219897068"/>
      <w:r>
        <w:t>4.13</w:t>
      </w:r>
      <w:r>
        <w:tab/>
      </w:r>
      <w:r w:rsidR="00B74FA3">
        <w:t>Where a referral has been made by the DCC pursuant to Clause 4.1</w:t>
      </w:r>
      <w:r w:rsidR="005C25B7">
        <w:t>2</w:t>
      </w:r>
      <w:r w:rsidR="00B74FA3">
        <w:t>, the determination of the Secretary of State shall be final and binding for the purposes of this Code as follows:</w:t>
      </w:r>
      <w:bookmarkEnd w:id="43"/>
    </w:p>
    <w:p w14:paraId="3967C541" w14:textId="77777777" w:rsidR="00801D98" w:rsidRDefault="00B74FA3" w:rsidP="0087541E">
      <w:pPr>
        <w:pStyle w:val="Heading3"/>
        <w:numPr>
          <w:ilvl w:val="2"/>
          <w:numId w:val="42"/>
        </w:numPr>
      </w:pPr>
      <w:bookmarkStart w:id="44" w:name="_Toc219897069"/>
      <w:r>
        <w:t xml:space="preserve">where the Secretary of State agrees that Initial Pallet Validation has completed, the relevant Completion Report shall be updated by the DCC as </w:t>
      </w:r>
      <w:proofErr w:type="gramStart"/>
      <w:r>
        <w:t>necessary</w:t>
      </w:r>
      <w:proofErr w:type="gramEnd"/>
      <w:r>
        <w:t xml:space="preserve"> and the contents shall be deemed to be final; or</w:t>
      </w:r>
      <w:bookmarkEnd w:id="44"/>
    </w:p>
    <w:p w14:paraId="5D071199" w14:textId="07290798" w:rsidR="00801D98" w:rsidRDefault="00B74FA3">
      <w:pPr>
        <w:pStyle w:val="Heading3"/>
      </w:pPr>
      <w:bookmarkStart w:id="45" w:name="_Toc219897070"/>
      <w:r>
        <w:t>where the Secretary of State disagrees that Initial Pallet Validation has completed, the DCC shall continue with the Initial Pallet Validation Stage (and Clause 4.</w:t>
      </w:r>
      <w:r w:rsidR="00863D88">
        <w:t xml:space="preserve">8 </w:t>
      </w:r>
      <w:r>
        <w:t>onwards shall apply again).</w:t>
      </w:r>
      <w:bookmarkEnd w:id="45"/>
    </w:p>
    <w:p w14:paraId="1DB2CF46" w14:textId="1AF93780" w:rsidR="0049339B" w:rsidRDefault="006F56C7" w:rsidP="006F56C7">
      <w:pPr>
        <w:pStyle w:val="Heading2"/>
        <w:numPr>
          <w:ilvl w:val="0"/>
          <w:numId w:val="0"/>
        </w:numPr>
        <w:ind w:left="709" w:hanging="709"/>
      </w:pPr>
      <w:bookmarkStart w:id="46" w:name="_Toc219897071"/>
      <w:r>
        <w:t>4.14</w:t>
      </w:r>
      <w:r>
        <w:tab/>
      </w:r>
      <w:r w:rsidR="00B74FA3">
        <w:t xml:space="preserve">The DCC shall publish the final Completion Reports for Initial Pallet Validation as soon as reasonably practicable on the DCC Website, which shall be anonymised and redacted </w:t>
      </w:r>
      <w:proofErr w:type="gramStart"/>
      <w:r w:rsidR="00B74FA3">
        <w:t>where</w:t>
      </w:r>
      <w:proofErr w:type="gramEnd"/>
      <w:r w:rsidR="00B74FA3">
        <w:t xml:space="preserve"> directed by the Panel. The DCC shall notify the Panel, the Secretary of State, the </w:t>
      </w:r>
      <w:r w:rsidR="00B74FA3">
        <w:lastRenderedPageBreak/>
        <w:t>Authority and the Parties of the publication of the report.</w:t>
      </w:r>
      <w:bookmarkEnd w:id="46"/>
    </w:p>
    <w:p w14:paraId="39F8CB4D" w14:textId="3EC50EB2" w:rsidR="00801D98" w:rsidRDefault="00B74FA3" w:rsidP="00D034D2">
      <w:pPr>
        <w:pStyle w:val="Heading1"/>
      </w:pPr>
      <w:bookmarkStart w:id="47" w:name="_Toc219897072"/>
      <w:bookmarkStart w:id="48" w:name="_Toc219900423"/>
      <w:r>
        <w:t>Ordering of 4G Communications Hubs for Initial Pallet Validation</w:t>
      </w:r>
      <w:bookmarkEnd w:id="47"/>
      <w:bookmarkEnd w:id="48"/>
      <w:r>
        <w:t xml:space="preserve"> </w:t>
      </w:r>
    </w:p>
    <w:p w14:paraId="189C1806" w14:textId="183D2020" w:rsidR="00801D98" w:rsidRDefault="00B74FA3">
      <w:pPr>
        <w:pStyle w:val="Heading2"/>
      </w:pPr>
      <w:bookmarkStart w:id="49" w:name="_Toc219897073"/>
      <w:r>
        <w:t>Each Supplier Party shall be entitled to order 4G Communications Hubs intended for use in the Initial Pallet Validation Stage in accordance with this Clause 5.</w:t>
      </w:r>
      <w:bookmarkEnd w:id="49"/>
      <w:r>
        <w:t xml:space="preserve"> </w:t>
      </w:r>
    </w:p>
    <w:p w14:paraId="375269DC" w14:textId="13C9C444" w:rsidR="00801D98" w:rsidRDefault="00B74FA3">
      <w:pPr>
        <w:pStyle w:val="Heading2"/>
        <w:rPr>
          <w:rStyle w:val="CommentReference"/>
          <w:sz w:val="24"/>
          <w:szCs w:val="24"/>
        </w:rPr>
      </w:pPr>
      <w:bookmarkStart w:id="50" w:name="_Toc219897074"/>
      <w:r>
        <w:t>4G Communications Hubs orders shall be supplied by the DCC in Cartons. Each Supplier Party may place a request for a minimum order of 1 Carton and a maximum order of 64 Cartons during the calendar month prior to the "Initial Pallet Orders" JIP Milestone. The DCC shall ensure that there are in total 640 Cartons (8,960 4G Communication Hubs) available for ordering by Supplier Parties.</w:t>
      </w:r>
      <w:bookmarkEnd w:id="50"/>
    </w:p>
    <w:p w14:paraId="6FB3E1EE" w14:textId="26F0B26E" w:rsidR="00801D98" w:rsidRDefault="00B74FA3">
      <w:pPr>
        <w:pStyle w:val="Heading2"/>
      </w:pPr>
      <w:bookmarkStart w:id="51" w:name="_Toc219897075"/>
      <w:r>
        <w:t xml:space="preserve">The DCC shall make available to Supplier Parties at least one DCC contact telephone number and one DCC email address for the purposes of order requests for 4G Communications Hubs. A Supplier Party </w:t>
      </w:r>
      <w:r w:rsidR="00341C05">
        <w:t xml:space="preserve">shall </w:t>
      </w:r>
      <w:r>
        <w:t>place any order request in writing by email</w:t>
      </w:r>
      <w:r w:rsidR="00233BB7">
        <w:t xml:space="preserve"> </w:t>
      </w:r>
      <w:r w:rsidR="00341C05">
        <w:t>by completing a template provided by the DCC for this purpose</w:t>
      </w:r>
      <w:r>
        <w:t>.</w:t>
      </w:r>
      <w:bookmarkEnd w:id="51"/>
    </w:p>
    <w:p w14:paraId="62EF4C76" w14:textId="7450980F" w:rsidR="00801D98" w:rsidRDefault="00233BB7">
      <w:pPr>
        <w:pStyle w:val="Heading2"/>
      </w:pPr>
      <w:bookmarkStart w:id="52" w:name="_Toc219897076"/>
      <w:r>
        <w:t>The template provided by the DCC pursuant to Clause 5.3 shall</w:t>
      </w:r>
      <w:r w:rsidR="00341C05">
        <w:t xml:space="preserve"> include</w:t>
      </w:r>
      <w:r w:rsidR="00B74FA3">
        <w:t>:</w:t>
      </w:r>
      <w:bookmarkEnd w:id="52"/>
    </w:p>
    <w:p w14:paraId="11554561" w14:textId="784BCF5B" w:rsidR="00801D98" w:rsidRDefault="00B74FA3">
      <w:pPr>
        <w:pStyle w:val="Heading3"/>
      </w:pPr>
      <w:bookmarkStart w:id="53" w:name="_Toc219897077"/>
      <w:r>
        <w:t>the number of Cartons of 4G Communications Hubs being ordered (which, in accordance with Clause 5.2, shall be between 1 and 64 Cartons</w:t>
      </w:r>
      <w:proofErr w:type="gramStart"/>
      <w:r>
        <w:t>);</w:t>
      </w:r>
      <w:bookmarkEnd w:id="53"/>
      <w:proofErr w:type="gramEnd"/>
    </w:p>
    <w:p w14:paraId="0F534D0B" w14:textId="55046626" w:rsidR="00801D98" w:rsidRDefault="00B74FA3">
      <w:pPr>
        <w:pStyle w:val="Heading3"/>
      </w:pPr>
      <w:bookmarkStart w:id="54" w:name="_Toc219897078"/>
      <w:r>
        <w:t>one Delivery Location for the order, including the following information for the Delivery Location:</w:t>
      </w:r>
      <w:bookmarkEnd w:id="54"/>
      <w:r>
        <w:t xml:space="preserve"> </w:t>
      </w:r>
    </w:p>
    <w:p w14:paraId="09BF5852" w14:textId="77777777" w:rsidR="00801D98" w:rsidRDefault="00B74FA3" w:rsidP="00030C04">
      <w:pPr>
        <w:pStyle w:val="Heading4"/>
      </w:pPr>
      <w:r>
        <w:t>the full delivery address (including postcode</w:t>
      </w:r>
      <w:proofErr w:type="gramStart"/>
      <w:r>
        <w:t>);</w:t>
      </w:r>
      <w:proofErr w:type="gramEnd"/>
      <w:r>
        <w:t xml:space="preserve"> </w:t>
      </w:r>
    </w:p>
    <w:p w14:paraId="55E2936A" w14:textId="77777777" w:rsidR="00613C15" w:rsidRDefault="00B74FA3" w:rsidP="00030C04">
      <w:pPr>
        <w:pStyle w:val="Heading4"/>
      </w:pPr>
      <w:r>
        <w:t xml:space="preserve">days of the week and hours within those days that deliveries can be </w:t>
      </w:r>
      <w:proofErr w:type="gramStart"/>
      <w:r>
        <w:t>made;</w:t>
      </w:r>
      <w:proofErr w:type="gramEnd"/>
      <w:r>
        <w:t xml:space="preserve"> </w:t>
      </w:r>
    </w:p>
    <w:p w14:paraId="0CABF38B" w14:textId="20DF17CB" w:rsidR="00801D98" w:rsidRDefault="00613C15" w:rsidP="00030C04">
      <w:pPr>
        <w:pStyle w:val="Heading4"/>
      </w:pPr>
      <w:r>
        <w:t xml:space="preserve">a preferred delivery date within one month preceding the “Initial Pallet Supply” JIP Milestone; </w:t>
      </w:r>
      <w:r w:rsidR="00B74FA3">
        <w:t xml:space="preserve">and </w:t>
      </w:r>
    </w:p>
    <w:p w14:paraId="3BAAE65A" w14:textId="77777777" w:rsidR="00801D98" w:rsidRDefault="00B74FA3" w:rsidP="00030C04">
      <w:pPr>
        <w:pStyle w:val="Heading4"/>
      </w:pPr>
      <w:r>
        <w:t>the name, email address, and telephone number for a nominated contact in relation to each Communications Hubs order.</w:t>
      </w:r>
    </w:p>
    <w:p w14:paraId="2653CFC8" w14:textId="7270ACF2" w:rsidR="00801D98" w:rsidRDefault="00B74FA3">
      <w:pPr>
        <w:pStyle w:val="Heading2"/>
      </w:pPr>
      <w:bookmarkStart w:id="55" w:name="_Toc219897079"/>
      <w:r>
        <w:t xml:space="preserve">Where a Supplier Party does not provide an order request in </w:t>
      </w:r>
      <w:proofErr w:type="gramStart"/>
      <w:r>
        <w:t>a number of</w:t>
      </w:r>
      <w:proofErr w:type="gramEnd"/>
      <w:r>
        <w:t xml:space="preserve"> Cartons or where the order request is more than 64 Cartons, DCC shall amend that element of the request at its discretion to comply with the requirements set out in this Clause 5.</w:t>
      </w:r>
      <w:bookmarkEnd w:id="55"/>
    </w:p>
    <w:p w14:paraId="7856F143" w14:textId="77777777" w:rsidR="00801D98" w:rsidRDefault="00B74FA3">
      <w:pPr>
        <w:pStyle w:val="Heading2"/>
      </w:pPr>
      <w:bookmarkStart w:id="56" w:name="_Toc219897080"/>
      <w:r>
        <w:lastRenderedPageBreak/>
        <w:t>Where the DCC receives a Communications Hub order request from a Supplier Party, the DCC shall:</w:t>
      </w:r>
      <w:bookmarkEnd w:id="56"/>
      <w:r>
        <w:t xml:space="preserve"> </w:t>
      </w:r>
    </w:p>
    <w:p w14:paraId="3A728DBA" w14:textId="77777777" w:rsidR="00801D98" w:rsidRDefault="00B74FA3">
      <w:pPr>
        <w:pStyle w:val="Heading3"/>
      </w:pPr>
      <w:bookmarkStart w:id="57" w:name="_Toc219897081"/>
      <w:r>
        <w:t>promptly acknowledge receipt of the request; and</w:t>
      </w:r>
      <w:bookmarkEnd w:id="57"/>
      <w:r>
        <w:t xml:space="preserve"> </w:t>
      </w:r>
    </w:p>
    <w:p w14:paraId="57B3F21C" w14:textId="77777777" w:rsidR="00801D98" w:rsidRDefault="00B74FA3">
      <w:pPr>
        <w:pStyle w:val="Heading3"/>
      </w:pPr>
      <w:bookmarkStart w:id="58" w:name="_Toc219897082"/>
      <w:r>
        <w:t>within five Working Days of its receipt, notify the Supplier Party in writing via email either that:</w:t>
      </w:r>
      <w:bookmarkEnd w:id="58"/>
      <w:r>
        <w:t xml:space="preserve"> </w:t>
      </w:r>
    </w:p>
    <w:p w14:paraId="2D5BF856" w14:textId="1E94B7C4" w:rsidR="00801D98" w:rsidRDefault="00B74FA3" w:rsidP="0087541E">
      <w:pPr>
        <w:pStyle w:val="Body2"/>
        <w:numPr>
          <w:ilvl w:val="3"/>
          <w:numId w:val="36"/>
        </w:numPr>
        <w:ind w:left="1843" w:hanging="567"/>
      </w:pPr>
      <w:r>
        <w:t xml:space="preserve">the request satisfies the requirements of Clause 5.4 and is therefore being processed; or </w:t>
      </w:r>
    </w:p>
    <w:p w14:paraId="3C52BEC1" w14:textId="5BF900B4" w:rsidR="00801D98" w:rsidRDefault="00B74FA3" w:rsidP="0087541E">
      <w:pPr>
        <w:pStyle w:val="Body2"/>
        <w:numPr>
          <w:ilvl w:val="3"/>
          <w:numId w:val="36"/>
        </w:numPr>
        <w:ind w:left="1843" w:hanging="567"/>
      </w:pPr>
      <w:r>
        <w:t>the request does not satisfy the requirements of Clause 5.4 with respect to the minimum or maximum number of Cartons therefore that the DCC has amended the order request pursuant to Clause 5.5, provide the details of the amendment and state that the request is being processed on that basis; and/or</w:t>
      </w:r>
    </w:p>
    <w:p w14:paraId="4D6CBED7" w14:textId="113D2D67" w:rsidR="00801D98" w:rsidRDefault="00B74FA3" w:rsidP="0087541E">
      <w:pPr>
        <w:pStyle w:val="Body2"/>
        <w:numPr>
          <w:ilvl w:val="3"/>
          <w:numId w:val="36"/>
        </w:numPr>
        <w:ind w:left="1843" w:hanging="567"/>
      </w:pPr>
      <w:r>
        <w:t xml:space="preserve">the request does not satisfy the other requirements of Clause 5.4 in which case the Supplier Party shall revise the request within [5] Working Days so that it does so satisfy those requirements, </w:t>
      </w:r>
      <w:proofErr w:type="gramStart"/>
      <w:r>
        <w:t>in order for</w:t>
      </w:r>
      <w:proofErr w:type="gramEnd"/>
      <w:r>
        <w:t xml:space="preserve"> it to be eligible for processing by the DCC. </w:t>
      </w:r>
    </w:p>
    <w:p w14:paraId="5FE217F1" w14:textId="466DD165" w:rsidR="00801D98" w:rsidRDefault="00B74FA3">
      <w:pPr>
        <w:pStyle w:val="Heading2"/>
      </w:pPr>
      <w:bookmarkStart w:id="59" w:name="_Toc219897083"/>
      <w:r>
        <w:t>Following completion of the steps in Clause 5.6, the DCC shall process each Supplier Party’s order request in accordance with the rules set out in Clauses 5.8 – 5.15.</w:t>
      </w:r>
      <w:bookmarkEnd w:id="59"/>
    </w:p>
    <w:p w14:paraId="7FBD7095" w14:textId="73038089" w:rsidR="00801D98" w:rsidRDefault="00B74FA3">
      <w:pPr>
        <w:pStyle w:val="Heading2"/>
      </w:pPr>
      <w:bookmarkStart w:id="60" w:name="_Toc219897084"/>
      <w:r>
        <w:t xml:space="preserve">Where the aggregate of the order requests pursuant to Clause 5.6 exceeds 640 Cartons, </w:t>
      </w:r>
      <w:bookmarkStart w:id="61" w:name="_Hlk143683925"/>
      <w:r>
        <w:t>the following rules shall apply and the DCC shall adjust each Supplier Party’s order request accordingly</w:t>
      </w:r>
      <w:bookmarkEnd w:id="61"/>
      <w:r>
        <w:t>:</w:t>
      </w:r>
      <w:bookmarkEnd w:id="60"/>
    </w:p>
    <w:p w14:paraId="219503E2" w14:textId="0E305D78" w:rsidR="00801D98" w:rsidRDefault="00B74FA3">
      <w:pPr>
        <w:pStyle w:val="Heading3"/>
      </w:pPr>
      <w:bookmarkStart w:id="62" w:name="_Toc219897085"/>
      <w:r>
        <w:t>each order request for 16 Cartons or fewer shall be accepted. Each order request for more than 16 Cartons shall be reduced by one Carton. This process shall be repeated until the aggregate number of order requests does not exceed 640 Cartons, provided that the DCC shall not reduce a Supplier Party’s order request below 16 Cartons; and</w:t>
      </w:r>
      <w:bookmarkEnd w:id="62"/>
    </w:p>
    <w:p w14:paraId="6CC2C366" w14:textId="5E730E6C" w:rsidR="00801D98" w:rsidRDefault="00B74FA3">
      <w:pPr>
        <w:pStyle w:val="Heading3"/>
      </w:pPr>
      <w:bookmarkStart w:id="63" w:name="_Toc219897086"/>
      <w:r>
        <w:t>once the rules in Clause 5.8(a) have been applied, any remaining Cartons that are available to be ordered shall be randomly allocated to individual order requests that were reduced pursuant to Clause 5.8(a).</w:t>
      </w:r>
      <w:bookmarkEnd w:id="63"/>
      <w:r>
        <w:t xml:space="preserve"> </w:t>
      </w:r>
    </w:p>
    <w:p w14:paraId="06CF1925" w14:textId="686709D8" w:rsidR="00801D98" w:rsidRDefault="00B74FA3">
      <w:pPr>
        <w:pStyle w:val="Heading2"/>
      </w:pPr>
      <w:bookmarkStart w:id="64" w:name="_Toc219897087"/>
      <w:r>
        <w:lastRenderedPageBreak/>
        <w:t>Where the aggregate of order requests pursuant to Clause 5.6 equals 640 Cartons, no further adjustment shall be made by the DCC to each Supplier Party’s order request.</w:t>
      </w:r>
      <w:bookmarkEnd w:id="64"/>
    </w:p>
    <w:p w14:paraId="520441EF" w14:textId="7443FBA4" w:rsidR="00801D98" w:rsidRDefault="00B74FA3">
      <w:pPr>
        <w:pStyle w:val="Heading2"/>
      </w:pPr>
      <w:bookmarkStart w:id="65" w:name="_Toc219897088"/>
      <w:r>
        <w:t>Where the aggregate of order requests pursuant to Clause 5.6 is fewer than 640 Cartons, the DCC shall send an email to each Supplier Party that submitted an order request to invite them to increase their order request through an additional round of requests, stating the total amount of Cartons that are available for ordering in that additional round that have not yet been requested. Each Supplier Party shall have 5 Working Days to respond in writing via email to the DCC stating whether it wants to additionally request Cartons and if so, the number that it wishes to additionally request. Where a Supplier Party does not submit an additional order request, its order request shall not be amended.</w:t>
      </w:r>
      <w:bookmarkEnd w:id="65"/>
    </w:p>
    <w:p w14:paraId="08624F16" w14:textId="0D2FBD30" w:rsidR="00801D98" w:rsidRDefault="00B74FA3">
      <w:pPr>
        <w:pStyle w:val="Heading2"/>
      </w:pPr>
      <w:bookmarkStart w:id="66" w:name="_Toc219897089"/>
      <w:r>
        <w:t>In respect of those Supplier Parties that do submit additional order requests, where the aggregate of the additional order requests received pursuant to Clause 5.10 does not exceed the total Cartons that were available for ordering in the additional round, the DCC shall adjust each relevant Supplier Party’s order request to reflect the additional amount requested by that Supplier Party.</w:t>
      </w:r>
      <w:bookmarkEnd w:id="66"/>
    </w:p>
    <w:p w14:paraId="3E80A9A0" w14:textId="6F19C088" w:rsidR="00801D98" w:rsidRDefault="00B74FA3">
      <w:pPr>
        <w:pStyle w:val="Heading2"/>
      </w:pPr>
      <w:bookmarkStart w:id="67" w:name="_Toc219897090"/>
      <w:r>
        <w:t>In respect of those Supplier Parties that do submit additional order requests, where the aggregate of the additional order requests received pursuant to Clause 5.10 exceeds the total Cartons that were available for ordering in the additional round, then the following rules shall apply and the DCC shall adjust each relevant Supplier Party’s order request to reflect the additional amount allocated to that Supplier Party:</w:t>
      </w:r>
      <w:bookmarkEnd w:id="67"/>
    </w:p>
    <w:p w14:paraId="68F84686" w14:textId="661F5EAF" w:rsidR="00801D98" w:rsidRDefault="00B74FA3">
      <w:pPr>
        <w:pStyle w:val="Heading3"/>
      </w:pPr>
      <w:bookmarkStart w:id="68" w:name="_Toc219897091"/>
      <w:r>
        <w:t>the DCC shall reduce the Supplier Party’s additional order request by a single Carton. This process shall be repeated until the aggregate number of additional order requests does not exceed the total number of Cartons that were available for ordering in the additional round; and</w:t>
      </w:r>
      <w:bookmarkEnd w:id="68"/>
    </w:p>
    <w:p w14:paraId="17B675FF" w14:textId="3C15B7F6" w:rsidR="00801D98" w:rsidRDefault="00B74FA3">
      <w:pPr>
        <w:pStyle w:val="Heading3"/>
      </w:pPr>
      <w:bookmarkStart w:id="69" w:name="_Toc219897092"/>
      <w:r>
        <w:t>once the rules in Clause 5.12(a) have been applied, any remaining Cartons that are available shall be randomly allocated to individual additional order requests that were reduced pursuant to Clause 5.12(a).</w:t>
      </w:r>
      <w:bookmarkEnd w:id="69"/>
      <w:r>
        <w:t xml:space="preserve"> </w:t>
      </w:r>
    </w:p>
    <w:p w14:paraId="4DD98004" w14:textId="6776FF0F" w:rsidR="00801D98" w:rsidRDefault="00B74FA3">
      <w:pPr>
        <w:pStyle w:val="Heading2"/>
      </w:pPr>
      <w:bookmarkStart w:id="70" w:name="_Toc219897093"/>
      <w:proofErr w:type="gramStart"/>
      <w:r>
        <w:t>In the event that</w:t>
      </w:r>
      <w:proofErr w:type="gramEnd"/>
      <w:r>
        <w:t xml:space="preserve"> a Supplier Party’s order request or additional order request is amended pursuant to Clause 5.8 or Clause 5.12, the DCC shall contact that Supplier Party by </w:t>
      </w:r>
      <w:r>
        <w:lastRenderedPageBreak/>
        <w:t>email, to inform them of the amendment, setting out the reason for the change.</w:t>
      </w:r>
      <w:bookmarkEnd w:id="70"/>
    </w:p>
    <w:p w14:paraId="2C110520" w14:textId="440AA2E2" w:rsidR="00801D98" w:rsidRDefault="00B74FA3">
      <w:pPr>
        <w:pStyle w:val="Heading2"/>
      </w:pPr>
      <w:bookmarkStart w:id="71" w:name="_Toc219897094"/>
      <w:r>
        <w:t xml:space="preserve">Each Supplier Party’s accepted order for 4G Communications Hubs will be set at the </w:t>
      </w:r>
      <w:proofErr w:type="gramStart"/>
      <w:r>
        <w:t>amount</w:t>
      </w:r>
      <w:proofErr w:type="gramEnd"/>
      <w:r>
        <w:t xml:space="preserve"> of Cartons established pursuant to completion of the process set out in Clauses 5.8 – 5.12 (inclusive). The DCC shall notify each Supplier Party in writing via email of its accepted order amount by</w:t>
      </w:r>
      <w:r w:rsidR="00FF66A8">
        <w:t xml:space="preserve"> the</w:t>
      </w:r>
      <w:r>
        <w:t xml:space="preserve"> </w:t>
      </w:r>
      <w:r w:rsidR="00FF66A8">
        <w:t>"Initial Pallet Orders" JIP Milestone</w:t>
      </w:r>
      <w:r>
        <w:t>.</w:t>
      </w:r>
      <w:bookmarkEnd w:id="71"/>
    </w:p>
    <w:p w14:paraId="23FE7724" w14:textId="24EDBF5F" w:rsidR="00801D98" w:rsidRPr="002B1F2F" w:rsidRDefault="00B74FA3">
      <w:pPr>
        <w:pStyle w:val="Heading2"/>
      </w:pPr>
      <w:bookmarkStart w:id="72" w:name="_Toc219897095"/>
      <w:r w:rsidRPr="002B1F2F">
        <w:t xml:space="preserve">The DCC shall deliver to each Supplier Party its accepted order of 4G Communications Hubs to the location set out in the order request, within the opening hours of that location and on the </w:t>
      </w:r>
      <w:proofErr w:type="gramStart"/>
      <w:r w:rsidRPr="002B1F2F">
        <w:t>delivery</w:t>
      </w:r>
      <w:proofErr w:type="gramEnd"/>
      <w:r w:rsidRPr="002B1F2F">
        <w:t xml:space="preserve"> date established pursuant to Clause </w:t>
      </w:r>
      <w:r w:rsidR="009914B6" w:rsidRPr="002B1F2F">
        <w:t>5.4(b)(iii)</w:t>
      </w:r>
      <w:r w:rsidRPr="002B1F2F">
        <w:t>.</w:t>
      </w:r>
      <w:bookmarkEnd w:id="72"/>
      <w:r w:rsidRPr="002B1F2F">
        <w:t xml:space="preserve"> </w:t>
      </w:r>
    </w:p>
    <w:p w14:paraId="2E9E8399" w14:textId="2D86EE9D" w:rsidR="009A170B" w:rsidRPr="002B1F2F" w:rsidRDefault="00B74FA3" w:rsidP="0F26020C">
      <w:pPr>
        <w:pStyle w:val="Heading2"/>
        <w:rPr>
          <w:rFonts w:ascii="Times New Roman Bold" w:hAnsi="Times New Roman Bold"/>
          <w:iCs w:val="0"/>
          <w:kern w:val="32"/>
          <w:szCs w:val="32"/>
        </w:rPr>
      </w:pPr>
      <w:bookmarkStart w:id="73" w:name="_Toc219897096"/>
      <w:r w:rsidRPr="002B1F2F">
        <w:t>The DCC and each Supplier Party acknowledges that the DCC Licence and other parts of this Code (including Section A, Section F, the CH Handover Support Materials and the CH Installation and Maintenance Support Materials) shall be amended prior to delivery to apply in respect of the 4G Communications Hubs ordered pursuant to this Clause 5 and in respect of the Services that the DCC shall be required to provide in relation to those Communications Hubs.</w:t>
      </w:r>
      <w:bookmarkEnd w:id="73"/>
      <w:r w:rsidRPr="002B1F2F">
        <w:rPr>
          <w:rFonts w:ascii="Times New Roman Bold" w:hAnsi="Times New Roman Bold"/>
          <w:iCs w:val="0"/>
          <w:kern w:val="32"/>
          <w:szCs w:val="32"/>
        </w:rPr>
        <w:t xml:space="preserve"> </w:t>
      </w:r>
    </w:p>
    <w:p w14:paraId="20EE14D5" w14:textId="724E84FB" w:rsidR="00CF0921" w:rsidRPr="00DD3FDB" w:rsidRDefault="005F6912" w:rsidP="00DD3FDB">
      <w:pPr>
        <w:pStyle w:val="Heading1"/>
      </w:pPr>
      <w:bookmarkStart w:id="74" w:name="_Toc219897097"/>
      <w:bookmarkStart w:id="75" w:name="_Toc219900424"/>
      <w:bookmarkStart w:id="76" w:name="_Hlk157503720"/>
      <w:r w:rsidRPr="00DD3FDB">
        <w:t xml:space="preserve">Transitional </w:t>
      </w:r>
      <w:r w:rsidR="00B84614" w:rsidRPr="00030C04">
        <w:rPr>
          <w:rStyle w:val="normaltextrun"/>
          <w:b w:val="0"/>
          <w:bCs w:val="0"/>
        </w:rPr>
        <w:t>4G Comm</w:t>
      </w:r>
      <w:r w:rsidR="00DA578A" w:rsidRPr="00030C04">
        <w:rPr>
          <w:rStyle w:val="normaltextrun"/>
          <w:b w:val="0"/>
          <w:bCs w:val="0"/>
        </w:rPr>
        <w:t>unication</w:t>
      </w:r>
      <w:r w:rsidR="00B84614" w:rsidRPr="00030C04">
        <w:rPr>
          <w:rStyle w:val="normaltextrun"/>
          <w:b w:val="0"/>
          <w:bCs w:val="0"/>
        </w:rPr>
        <w:t>s Hub Forecasts and Ordering</w:t>
      </w:r>
      <w:r w:rsidR="009213C1" w:rsidRPr="00DD3FDB">
        <w:t xml:space="preserve">: </w:t>
      </w:r>
      <w:r w:rsidR="00CF0921" w:rsidRPr="00DD3FDB">
        <w:t>Application of Section F (Smart Metering System Requirements)</w:t>
      </w:r>
      <w:bookmarkEnd w:id="74"/>
      <w:bookmarkEnd w:id="75"/>
    </w:p>
    <w:p w14:paraId="0405BA08" w14:textId="442F6C6C" w:rsidR="00AF6A69" w:rsidRPr="001F08E5" w:rsidRDefault="002C497A" w:rsidP="59B0471F">
      <w:pPr>
        <w:pStyle w:val="Heading2"/>
        <w:numPr>
          <w:ilvl w:val="1"/>
          <w:numId w:val="0"/>
        </w:numPr>
        <w:ind w:left="709" w:hanging="709"/>
        <w:rPr>
          <w:rFonts w:cs="Times New Roman"/>
        </w:rPr>
      </w:pPr>
      <w:bookmarkStart w:id="77" w:name="_Toc219897098"/>
      <w:r>
        <w:t>6.1</w:t>
      </w:r>
      <w:r>
        <w:tab/>
      </w:r>
      <w:r w:rsidR="00042D43">
        <w:t>The</w:t>
      </w:r>
      <w:r w:rsidR="00AF6A69">
        <w:t xml:space="preserve"> Transitional 4G C</w:t>
      </w:r>
      <w:r w:rsidR="00C73FED">
        <w:t xml:space="preserve">ommunications </w:t>
      </w:r>
      <w:r w:rsidR="00AF6A69">
        <w:t>H</w:t>
      </w:r>
      <w:r w:rsidR="00C73FED">
        <w:t>ub</w:t>
      </w:r>
      <w:r w:rsidR="00AF6A69">
        <w:t xml:space="preserve"> Forecasting and Ordering</w:t>
      </w:r>
      <w:r w:rsidR="00466AAD">
        <w:t xml:space="preserve"> Period </w:t>
      </w:r>
      <w:r w:rsidR="00E720C8">
        <w:t xml:space="preserve">is the period starting on </w:t>
      </w:r>
      <w:r w:rsidR="00B202A8">
        <w:t>1 October 2024</w:t>
      </w:r>
      <w:r w:rsidR="00C74B8D">
        <w:t xml:space="preserve"> </w:t>
      </w:r>
      <w:r w:rsidR="00E720C8">
        <w:t xml:space="preserve">and ending on </w:t>
      </w:r>
      <w:r w:rsidR="00AE165F">
        <w:t>30 November 2025 (inclusive</w:t>
      </w:r>
      <w:r w:rsidR="00DC531C">
        <w:t>)</w:t>
      </w:r>
      <w:r w:rsidR="00852EDC">
        <w:t>.</w:t>
      </w:r>
      <w:bookmarkEnd w:id="77"/>
      <w:r w:rsidR="61C79A85">
        <w:t xml:space="preserve"> </w:t>
      </w:r>
    </w:p>
    <w:p w14:paraId="401BD7FA" w14:textId="3517B507" w:rsidR="00252158" w:rsidRDefault="00882746" w:rsidP="00FD43B0">
      <w:pPr>
        <w:pStyle w:val="Heading2"/>
        <w:numPr>
          <w:ilvl w:val="0"/>
          <w:numId w:val="0"/>
        </w:numPr>
        <w:ind w:left="709" w:hanging="709"/>
      </w:pPr>
      <w:bookmarkStart w:id="78" w:name="_Toc219897099"/>
      <w:r>
        <w:t>6.2</w:t>
      </w:r>
      <w:r>
        <w:tab/>
      </w:r>
      <w:r w:rsidR="00EF4FF2">
        <w:t>During the Transitional 4G C</w:t>
      </w:r>
      <w:r w:rsidR="007A40EF">
        <w:t xml:space="preserve">ommunications </w:t>
      </w:r>
      <w:r w:rsidR="00EF4FF2">
        <w:t>H</w:t>
      </w:r>
      <w:r w:rsidR="007A40EF">
        <w:t>ub</w:t>
      </w:r>
      <w:r w:rsidR="00EF4FF2">
        <w:t xml:space="preserve"> Forecasting and Ordering Period, </w:t>
      </w:r>
      <w:r w:rsidR="00252158">
        <w:t>Section</w:t>
      </w:r>
      <w:r w:rsidR="00B01E40">
        <w:t>s</w:t>
      </w:r>
      <w:r w:rsidR="00252158">
        <w:t xml:space="preserve"> F5</w:t>
      </w:r>
      <w:r w:rsidR="001627C3">
        <w:t>.3 and F5.4</w:t>
      </w:r>
      <w:r w:rsidR="00252158">
        <w:t xml:space="preserve"> </w:t>
      </w:r>
      <w:r w:rsidR="00B01E40">
        <w:t xml:space="preserve">of this Code </w:t>
      </w:r>
      <w:r w:rsidR="00252158">
        <w:t xml:space="preserve">shall apply </w:t>
      </w:r>
      <w:r w:rsidR="00B01E40">
        <w:t>subject to</w:t>
      </w:r>
      <w:r w:rsidR="00F14B5D">
        <w:t xml:space="preserve"> the following variations in respect of </w:t>
      </w:r>
      <w:r w:rsidR="00535F6F">
        <w:t>forecasts for 4G Communications Hubs</w:t>
      </w:r>
      <w:r w:rsidR="00A84EDB">
        <w:t xml:space="preserve"> for the 4G Central/South Region</w:t>
      </w:r>
      <w:r w:rsidR="00CB162B">
        <w:t xml:space="preserve"> (only</w:t>
      </w:r>
      <w:r w:rsidR="00A84EDB">
        <w:t>)</w:t>
      </w:r>
      <w:r w:rsidR="00535F6F">
        <w:t>:</w:t>
      </w:r>
      <w:bookmarkEnd w:id="78"/>
    </w:p>
    <w:p w14:paraId="14013178" w14:textId="2E8EEF7C" w:rsidR="004F2DBF" w:rsidRDefault="008C3FFF" w:rsidP="002F22B3">
      <w:pPr>
        <w:pStyle w:val="Heading3"/>
        <w:numPr>
          <w:ilvl w:val="0"/>
          <w:numId w:val="0"/>
        </w:numPr>
        <w:ind w:left="1440" w:hanging="731"/>
      </w:pPr>
      <w:bookmarkStart w:id="79" w:name="_Toc219897100"/>
      <w:r>
        <w:t>(a)</w:t>
      </w:r>
      <w:r>
        <w:tab/>
      </w:r>
      <w:r w:rsidR="004F2DBF">
        <w:t xml:space="preserve">Each Party that intends to order 4G Communications Hubs for delivery </w:t>
      </w:r>
      <w:r w:rsidR="002B1ED3">
        <w:t xml:space="preserve">in </w:t>
      </w:r>
      <w:r w:rsidR="00955F11">
        <w:t xml:space="preserve">the </w:t>
      </w:r>
      <w:r w:rsidR="00C153DE">
        <w:t>D</w:t>
      </w:r>
      <w:r w:rsidR="009820E6">
        <w:t xml:space="preserve">elivery </w:t>
      </w:r>
      <w:r w:rsidR="00C153DE">
        <w:t>M</w:t>
      </w:r>
      <w:r w:rsidR="009820E6">
        <w:t xml:space="preserve">onths </w:t>
      </w:r>
      <w:r w:rsidR="00A873DD">
        <w:t xml:space="preserve">of </w:t>
      </w:r>
      <w:r w:rsidR="00AB3FAA">
        <w:t>either</w:t>
      </w:r>
      <w:r w:rsidR="000651E0">
        <w:t xml:space="preserve"> </w:t>
      </w:r>
      <w:r w:rsidR="00005845">
        <w:t>July 202</w:t>
      </w:r>
      <w:r w:rsidR="00457A83">
        <w:t>5</w:t>
      </w:r>
      <w:r w:rsidR="00607F91">
        <w:t xml:space="preserve"> </w:t>
      </w:r>
      <w:r w:rsidR="00AB3FAA">
        <w:t>or</w:t>
      </w:r>
      <w:r w:rsidR="00607F91">
        <w:t xml:space="preserve"> </w:t>
      </w:r>
      <w:r w:rsidR="00005845">
        <w:t>August 202</w:t>
      </w:r>
      <w:r w:rsidR="00457A83">
        <w:t>5</w:t>
      </w:r>
      <w:r w:rsidR="00263581">
        <w:t xml:space="preserve"> </w:t>
      </w:r>
      <w:r w:rsidR="004F2DBF">
        <w:t>shall submit a</w:t>
      </w:r>
      <w:r w:rsidR="00073012">
        <w:t xml:space="preserve"> single submission for the</w:t>
      </w:r>
      <w:r w:rsidR="004F2DBF">
        <w:t xml:space="preserve"> </w:t>
      </w:r>
      <w:r w:rsidR="00D702FB">
        <w:t>forecast</w:t>
      </w:r>
      <w:r w:rsidR="00F22CED">
        <w:t>s</w:t>
      </w:r>
      <w:r w:rsidR="00D702FB">
        <w:t xml:space="preserve"> </w:t>
      </w:r>
      <w:r w:rsidR="009F383C">
        <w:t xml:space="preserve">in respect of </w:t>
      </w:r>
      <w:r w:rsidR="003370B8">
        <w:t xml:space="preserve">each </w:t>
      </w:r>
      <w:r w:rsidR="00A70182">
        <w:t xml:space="preserve">of those </w:t>
      </w:r>
      <w:r w:rsidR="00DB3740">
        <w:t>Delivery Months</w:t>
      </w:r>
      <w:r w:rsidR="001A41A8">
        <w:t xml:space="preserve"> </w:t>
      </w:r>
      <w:r w:rsidR="00D04DD7">
        <w:t>on or</w:t>
      </w:r>
      <w:r w:rsidR="00D702FB">
        <w:t xml:space="preserve"> </w:t>
      </w:r>
      <w:r w:rsidR="004F2DBF">
        <w:t xml:space="preserve">before </w:t>
      </w:r>
      <w:r w:rsidR="001036F3">
        <w:t>24</w:t>
      </w:r>
      <w:r w:rsidR="00C0201A">
        <w:t xml:space="preserve"> October </w:t>
      </w:r>
      <w:proofErr w:type="gramStart"/>
      <w:r w:rsidR="00C0201A">
        <w:t>2024</w:t>
      </w:r>
      <w:r w:rsidR="004C5187">
        <w:t>;</w:t>
      </w:r>
      <w:bookmarkEnd w:id="79"/>
      <w:proofErr w:type="gramEnd"/>
    </w:p>
    <w:p w14:paraId="4317C8CA" w14:textId="1428974E" w:rsidR="00723508" w:rsidRPr="00723508" w:rsidRDefault="00C25F8B" w:rsidP="00322283">
      <w:pPr>
        <w:pStyle w:val="Heading3"/>
        <w:numPr>
          <w:ilvl w:val="0"/>
          <w:numId w:val="0"/>
        </w:numPr>
        <w:ind w:left="1440" w:hanging="731"/>
      </w:pPr>
      <w:bookmarkStart w:id="80" w:name="_Toc219897101"/>
      <w:r>
        <w:t xml:space="preserve">(b) </w:t>
      </w:r>
      <w:r w:rsidR="00DE654D">
        <w:tab/>
      </w:r>
      <w:r w:rsidR="00ED1285">
        <w:t xml:space="preserve">Each Party that intends to order 4G </w:t>
      </w:r>
      <w:r w:rsidR="002E7705">
        <w:t>Communications Hubs</w:t>
      </w:r>
      <w:r w:rsidR="00ED1285">
        <w:t xml:space="preserve"> for delivery </w:t>
      </w:r>
      <w:r w:rsidR="00E454C6">
        <w:t>in</w:t>
      </w:r>
      <w:r w:rsidR="00061857">
        <w:t xml:space="preserve"> the </w:t>
      </w:r>
      <w:r w:rsidR="00C153DE">
        <w:t>D</w:t>
      </w:r>
      <w:r w:rsidR="00EA3A0F">
        <w:t xml:space="preserve">elivery </w:t>
      </w:r>
      <w:r w:rsidR="00C153DE">
        <w:t>M</w:t>
      </w:r>
      <w:r w:rsidR="00EA3A0F">
        <w:t xml:space="preserve">onth </w:t>
      </w:r>
      <w:r w:rsidR="00A873DD">
        <w:t xml:space="preserve">of </w:t>
      </w:r>
      <w:r w:rsidR="00A25B2B">
        <w:t>September 2025</w:t>
      </w:r>
      <w:r w:rsidR="0055732F">
        <w:t xml:space="preserve"> </w:t>
      </w:r>
      <w:r w:rsidR="00476FC2">
        <w:t xml:space="preserve">shall submit a forecast </w:t>
      </w:r>
      <w:r w:rsidR="00074C1D">
        <w:t xml:space="preserve">on or </w:t>
      </w:r>
      <w:r w:rsidR="003160E0">
        <w:t xml:space="preserve">before </w:t>
      </w:r>
      <w:r w:rsidR="00611867">
        <w:t>22</w:t>
      </w:r>
      <w:r w:rsidR="00E60E79">
        <w:t xml:space="preserve"> November </w:t>
      </w:r>
      <w:proofErr w:type="gramStart"/>
      <w:r w:rsidR="00E60E79">
        <w:t>2024</w:t>
      </w:r>
      <w:r w:rsidR="004C5187">
        <w:t>;</w:t>
      </w:r>
      <w:bookmarkEnd w:id="80"/>
      <w:proofErr w:type="gramEnd"/>
      <w:r w:rsidR="004C5187">
        <w:t xml:space="preserve"> </w:t>
      </w:r>
    </w:p>
    <w:p w14:paraId="4CB01AC4" w14:textId="1B50A26E" w:rsidR="003D36A5" w:rsidRPr="00745F89" w:rsidRDefault="00B55F6B" w:rsidP="00FE0AAA">
      <w:pPr>
        <w:pStyle w:val="Heading3"/>
        <w:numPr>
          <w:ilvl w:val="0"/>
          <w:numId w:val="0"/>
        </w:numPr>
        <w:ind w:left="1440" w:hanging="731"/>
        <w:rPr>
          <w:strike/>
        </w:rPr>
      </w:pPr>
      <w:bookmarkStart w:id="81" w:name="_Toc219897102"/>
      <w:r>
        <w:lastRenderedPageBreak/>
        <w:t>(c)</w:t>
      </w:r>
      <w:r>
        <w:tab/>
      </w:r>
      <w:r w:rsidR="000651E0">
        <w:t xml:space="preserve">Each Party that intends to order 4G Communications Hubs for delivery </w:t>
      </w:r>
      <w:r w:rsidR="00E454C6">
        <w:t>in</w:t>
      </w:r>
      <w:r w:rsidR="00462455">
        <w:t xml:space="preserve"> the</w:t>
      </w:r>
      <w:r>
        <w:t xml:space="preserve"> </w:t>
      </w:r>
      <w:r w:rsidR="00C153DE">
        <w:t>D</w:t>
      </w:r>
      <w:r w:rsidR="00643A6F">
        <w:t xml:space="preserve">elivery </w:t>
      </w:r>
      <w:r w:rsidR="00C153DE">
        <w:t>M</w:t>
      </w:r>
      <w:r w:rsidR="00643A6F">
        <w:t xml:space="preserve">onths </w:t>
      </w:r>
      <w:r w:rsidR="002C6483">
        <w:t xml:space="preserve">of </w:t>
      </w:r>
      <w:r w:rsidR="0043480E">
        <w:t xml:space="preserve">either </w:t>
      </w:r>
      <w:r w:rsidR="002959D5">
        <w:t>October 2025</w:t>
      </w:r>
      <w:r w:rsidR="000651E0">
        <w:t xml:space="preserve"> </w:t>
      </w:r>
      <w:r w:rsidR="0043480E">
        <w:t xml:space="preserve">or </w:t>
      </w:r>
      <w:r w:rsidR="002959D5">
        <w:t>November 2025</w:t>
      </w:r>
      <w:r w:rsidR="001137BE">
        <w:t xml:space="preserve"> </w:t>
      </w:r>
      <w:r w:rsidR="000651E0">
        <w:t xml:space="preserve">shall submit a </w:t>
      </w:r>
      <w:r w:rsidR="00C138E1">
        <w:t xml:space="preserve">single submission for the </w:t>
      </w:r>
      <w:r w:rsidR="000651E0">
        <w:t>forecast</w:t>
      </w:r>
      <w:r w:rsidR="00F22CED">
        <w:t>s</w:t>
      </w:r>
      <w:r w:rsidR="000651E0">
        <w:t xml:space="preserve"> </w:t>
      </w:r>
      <w:r w:rsidR="003370B8">
        <w:t xml:space="preserve">for each </w:t>
      </w:r>
      <w:r w:rsidR="0068331A">
        <w:t xml:space="preserve">of those </w:t>
      </w:r>
      <w:r w:rsidR="00A61B0B">
        <w:t>Delivery Months</w:t>
      </w:r>
      <w:r w:rsidR="003370B8">
        <w:t xml:space="preserve"> </w:t>
      </w:r>
      <w:r w:rsidR="006D678E">
        <w:t>on or</w:t>
      </w:r>
      <w:r w:rsidR="000715E0">
        <w:t xml:space="preserve"> </w:t>
      </w:r>
      <w:r w:rsidR="000651E0">
        <w:t xml:space="preserve">before </w:t>
      </w:r>
      <w:r w:rsidR="00611867">
        <w:t>20</w:t>
      </w:r>
      <w:r w:rsidR="00DE16C7">
        <w:t xml:space="preserve"> December </w:t>
      </w:r>
      <w:proofErr w:type="gramStart"/>
      <w:r w:rsidR="00DE16C7">
        <w:t>2024</w:t>
      </w:r>
      <w:r w:rsidR="000651E0">
        <w:t>;</w:t>
      </w:r>
      <w:bookmarkEnd w:id="81"/>
      <w:proofErr w:type="gramEnd"/>
      <w:r w:rsidR="000651E0">
        <w:t xml:space="preserve"> </w:t>
      </w:r>
    </w:p>
    <w:p w14:paraId="63207064" w14:textId="28E3D8CD" w:rsidR="001930F0" w:rsidRPr="001930F0" w:rsidRDefault="005810DA" w:rsidP="00E9089E">
      <w:pPr>
        <w:pStyle w:val="Heading2"/>
        <w:numPr>
          <w:ilvl w:val="0"/>
          <w:numId w:val="0"/>
        </w:numPr>
        <w:ind w:left="709" w:hanging="709"/>
      </w:pPr>
      <w:bookmarkStart w:id="82" w:name="_Toc219897103"/>
      <w:r>
        <w:t xml:space="preserve">6.3 </w:t>
      </w:r>
      <w:r>
        <w:tab/>
      </w:r>
      <w:r w:rsidR="00001068">
        <w:t xml:space="preserve">During the Transitional </w:t>
      </w:r>
      <w:r w:rsidR="0004265D">
        <w:t xml:space="preserve">4G </w:t>
      </w:r>
      <w:r w:rsidR="00001068">
        <w:t>C</w:t>
      </w:r>
      <w:r w:rsidR="00EA6223">
        <w:t xml:space="preserve">ommunications </w:t>
      </w:r>
      <w:r w:rsidR="00001068">
        <w:t>H</w:t>
      </w:r>
      <w:r w:rsidR="00EA6223">
        <w:t>ub</w:t>
      </w:r>
      <w:r w:rsidR="00001068">
        <w:t xml:space="preserve"> Forecasting and Ordering Period, </w:t>
      </w:r>
      <w:r w:rsidR="00211F7D">
        <w:t>Section</w:t>
      </w:r>
      <w:r w:rsidR="0033566F">
        <w:t>s</w:t>
      </w:r>
      <w:r w:rsidR="00211F7D">
        <w:t xml:space="preserve"> F5.</w:t>
      </w:r>
      <w:r w:rsidR="00A01882">
        <w:t>7</w:t>
      </w:r>
      <w:r w:rsidR="00211F7D">
        <w:t xml:space="preserve"> </w:t>
      </w:r>
      <w:r w:rsidR="00596172">
        <w:t xml:space="preserve">to </w:t>
      </w:r>
      <w:r w:rsidR="00211F7D">
        <w:t>F5.</w:t>
      </w:r>
      <w:r w:rsidR="00B51430">
        <w:t>15</w:t>
      </w:r>
      <w:r w:rsidR="00211F7D">
        <w:t xml:space="preserve"> shall apply </w:t>
      </w:r>
      <w:r w:rsidR="0033566F">
        <w:t>subject to</w:t>
      </w:r>
      <w:r w:rsidR="00211F7D">
        <w:t xml:space="preserve"> the following variations in respect of </w:t>
      </w:r>
      <w:r w:rsidR="004A4D93">
        <w:t xml:space="preserve">orders </w:t>
      </w:r>
      <w:r w:rsidR="00211F7D">
        <w:t>for 4G Communications Hubs for the 4G Central/South Region</w:t>
      </w:r>
      <w:r w:rsidR="00CB162B">
        <w:t xml:space="preserve"> (only</w:t>
      </w:r>
      <w:r w:rsidR="00211F7D">
        <w:t>):</w:t>
      </w:r>
      <w:bookmarkEnd w:id="82"/>
    </w:p>
    <w:p w14:paraId="73CD6BBA" w14:textId="113EB8EE" w:rsidR="00A77AA1" w:rsidRDefault="00023D35" w:rsidP="00C26163">
      <w:pPr>
        <w:pStyle w:val="Heading3"/>
        <w:numPr>
          <w:ilvl w:val="0"/>
          <w:numId w:val="0"/>
        </w:numPr>
        <w:ind w:left="1440" w:hanging="720"/>
      </w:pPr>
      <w:bookmarkStart w:id="83" w:name="_Toc219897104"/>
      <w:r>
        <w:t xml:space="preserve">(a) </w:t>
      </w:r>
      <w:r>
        <w:tab/>
      </w:r>
      <w:r w:rsidR="002455B7">
        <w:t>E</w:t>
      </w:r>
      <w:r w:rsidR="0098464C">
        <w:t>ach</w:t>
      </w:r>
      <w:r w:rsidR="00A04D04">
        <w:t xml:space="preserve"> Party that intends</w:t>
      </w:r>
      <w:r w:rsidR="00EE2EAE">
        <w:t xml:space="preserve"> to order 4G Communications Hubs </w:t>
      </w:r>
      <w:r w:rsidR="00121F2F">
        <w:t xml:space="preserve">for delivery </w:t>
      </w:r>
      <w:r w:rsidR="00CF5461">
        <w:t>in</w:t>
      </w:r>
      <w:r w:rsidR="003C4B75">
        <w:t xml:space="preserve"> one or</w:t>
      </w:r>
      <w:r w:rsidR="00EC4E93">
        <w:t xml:space="preserve"> more of</w:t>
      </w:r>
      <w:r w:rsidR="00B37951">
        <w:t xml:space="preserve"> the </w:t>
      </w:r>
      <w:r w:rsidR="00C153DE">
        <w:t>D</w:t>
      </w:r>
      <w:r w:rsidR="00AB4227">
        <w:t xml:space="preserve">elivery </w:t>
      </w:r>
      <w:r w:rsidR="00C153DE">
        <w:t>M</w:t>
      </w:r>
      <w:r w:rsidR="00AB4227">
        <w:t xml:space="preserve">onths </w:t>
      </w:r>
      <w:r w:rsidR="007C3D22">
        <w:t>of July 202</w:t>
      </w:r>
      <w:r w:rsidR="00685926">
        <w:t>5</w:t>
      </w:r>
      <w:r w:rsidR="00CB35D3">
        <w:t>, August 202</w:t>
      </w:r>
      <w:r w:rsidR="006C2ACE">
        <w:t>5</w:t>
      </w:r>
      <w:r w:rsidR="00CB35D3">
        <w:t xml:space="preserve"> and/or September 202</w:t>
      </w:r>
      <w:r w:rsidR="006C2ACE">
        <w:t>5</w:t>
      </w:r>
      <w:r w:rsidR="00CB35D3">
        <w:t xml:space="preserve"> </w:t>
      </w:r>
      <w:r w:rsidR="00BB55C3">
        <w:t xml:space="preserve">shall submit </w:t>
      </w:r>
      <w:r w:rsidR="00121F2F">
        <w:t>a single</w:t>
      </w:r>
      <w:r w:rsidR="00BB55C3">
        <w:t xml:space="preserve"> </w:t>
      </w:r>
      <w:r w:rsidR="00073442">
        <w:t>submission</w:t>
      </w:r>
      <w:r w:rsidR="00BB55C3">
        <w:t xml:space="preserve"> </w:t>
      </w:r>
      <w:r w:rsidR="00D53397">
        <w:t>for the order</w:t>
      </w:r>
      <w:r w:rsidR="006D66B0">
        <w:t>s</w:t>
      </w:r>
      <w:r w:rsidR="006E754D">
        <w:t xml:space="preserve"> in respect of each of those </w:t>
      </w:r>
      <w:r w:rsidR="00665D98">
        <w:t>Delivery Months</w:t>
      </w:r>
      <w:r w:rsidR="00121F2F">
        <w:t xml:space="preserve"> </w:t>
      </w:r>
      <w:r w:rsidR="00137596">
        <w:t xml:space="preserve">no later than </w:t>
      </w:r>
      <w:r w:rsidR="001F2A8D">
        <w:t>11 April 202</w:t>
      </w:r>
      <w:r w:rsidR="00B75E05">
        <w:t>5</w:t>
      </w:r>
      <w:r w:rsidR="00C75ED0">
        <w:t xml:space="preserve">. </w:t>
      </w:r>
      <w:r w:rsidR="00C75ED0" w:rsidRPr="00C75ED0">
        <w:t xml:space="preserve">Where a Party has chosen to submit an intended order prior to this Code being so modified, </w:t>
      </w:r>
      <w:r w:rsidR="00700B2F">
        <w:t>the submitted intended order</w:t>
      </w:r>
      <w:r w:rsidR="00C75ED0" w:rsidRPr="00C75ED0">
        <w:t xml:space="preserve"> shall be treated as </w:t>
      </w:r>
      <w:r w:rsidR="00C75ED0">
        <w:t>an order</w:t>
      </w:r>
      <w:r w:rsidR="00C75ED0" w:rsidRPr="00C75ED0">
        <w:t xml:space="preserve"> once this Code has been modified and shall be treated as if it had been made </w:t>
      </w:r>
      <w:proofErr w:type="gramStart"/>
      <w:r w:rsidR="000A517B">
        <w:t>subsequent to</w:t>
      </w:r>
      <w:proofErr w:type="gramEnd"/>
      <w:r w:rsidR="00420D7B">
        <w:t xml:space="preserve"> such </w:t>
      </w:r>
      <w:proofErr w:type="gramStart"/>
      <w:r w:rsidR="00420D7B">
        <w:t>modification</w:t>
      </w:r>
      <w:r w:rsidR="00A77AA1">
        <w:t>;</w:t>
      </w:r>
      <w:bookmarkEnd w:id="83"/>
      <w:proofErr w:type="gramEnd"/>
    </w:p>
    <w:p w14:paraId="7D49A71A" w14:textId="5F2639A0" w:rsidR="008D7ADD" w:rsidRPr="008D7ADD" w:rsidRDefault="00AD23C2" w:rsidP="00B96CEE">
      <w:pPr>
        <w:pStyle w:val="Heading3"/>
        <w:numPr>
          <w:ilvl w:val="0"/>
          <w:numId w:val="0"/>
        </w:numPr>
        <w:ind w:left="1440" w:hanging="720"/>
      </w:pPr>
      <w:bookmarkStart w:id="84" w:name="_Toc219897105"/>
      <w:r>
        <w:t>(</w:t>
      </w:r>
      <w:r w:rsidR="00B05F60">
        <w:t>b</w:t>
      </w:r>
      <w:r>
        <w:t>)</w:t>
      </w:r>
      <w:r>
        <w:tab/>
      </w:r>
      <w:r w:rsidR="006550B2">
        <w:t xml:space="preserve">An order of 4G Communications Hubs </w:t>
      </w:r>
      <w:r w:rsidR="00025A24">
        <w:t xml:space="preserve">for delivery </w:t>
      </w:r>
      <w:r w:rsidR="002A1A63">
        <w:t xml:space="preserve">in the </w:t>
      </w:r>
      <w:r w:rsidR="00C153DE">
        <w:t>D</w:t>
      </w:r>
      <w:r w:rsidR="00702676">
        <w:t xml:space="preserve">elivery </w:t>
      </w:r>
      <w:r w:rsidR="00C153DE">
        <w:t>M</w:t>
      </w:r>
      <w:r w:rsidR="00702676">
        <w:t>onth</w:t>
      </w:r>
      <w:r w:rsidR="00520D03">
        <w:t xml:space="preserve"> </w:t>
      </w:r>
      <w:r w:rsidR="00BC502F">
        <w:t xml:space="preserve">of </w:t>
      </w:r>
      <w:r w:rsidR="00685926">
        <w:t>July 2025</w:t>
      </w:r>
      <w:r w:rsidR="00362EE9">
        <w:t xml:space="preserve"> </w:t>
      </w:r>
      <w:r w:rsidR="00B26609">
        <w:t>shall</w:t>
      </w:r>
      <w:r w:rsidR="006550B2">
        <w:t xml:space="preserve"> have </w:t>
      </w:r>
      <w:r w:rsidR="00195700">
        <w:t xml:space="preserve">the </w:t>
      </w:r>
      <w:r w:rsidR="006550B2">
        <w:t xml:space="preserve">tolerances </w:t>
      </w:r>
      <w:r w:rsidR="00195700">
        <w:t xml:space="preserve">specified in </w:t>
      </w:r>
      <w:r w:rsidR="00E5771B">
        <w:t xml:space="preserve">Section F5.10 </w:t>
      </w:r>
      <w:r w:rsidR="006550B2">
        <w:t xml:space="preserve">applied to the forecast </w:t>
      </w:r>
      <w:r w:rsidR="008D7ADD">
        <w:t xml:space="preserve">for </w:t>
      </w:r>
      <w:r w:rsidR="00F52183">
        <w:t xml:space="preserve">this </w:t>
      </w:r>
      <w:r w:rsidR="00025C14">
        <w:t>Delivery Month</w:t>
      </w:r>
      <w:r w:rsidR="00F52183">
        <w:t xml:space="preserve"> </w:t>
      </w:r>
      <w:r w:rsidR="006550B2">
        <w:t>submitted in accordance with Clause 6.</w:t>
      </w:r>
      <w:r w:rsidR="00481756">
        <w:t>2</w:t>
      </w:r>
      <w:r w:rsidR="006550B2">
        <w:t xml:space="preserve">(a) </w:t>
      </w:r>
      <w:proofErr w:type="gramStart"/>
      <w:r w:rsidR="006550B2">
        <w:t>above;</w:t>
      </w:r>
      <w:bookmarkEnd w:id="84"/>
      <w:proofErr w:type="gramEnd"/>
    </w:p>
    <w:p w14:paraId="2BF578EC" w14:textId="67A8079A" w:rsidR="008D7ADD" w:rsidRDefault="001D5289" w:rsidP="00B96CEE">
      <w:pPr>
        <w:pStyle w:val="Heading3"/>
        <w:numPr>
          <w:ilvl w:val="0"/>
          <w:numId w:val="0"/>
        </w:numPr>
        <w:ind w:left="1440" w:hanging="720"/>
      </w:pPr>
      <w:bookmarkStart w:id="85" w:name="_Toc219897106"/>
      <w:r>
        <w:t>(</w:t>
      </w:r>
      <w:r w:rsidR="00B05F60">
        <w:t>c</w:t>
      </w:r>
      <w:r>
        <w:t>)</w:t>
      </w:r>
      <w:r>
        <w:tab/>
      </w:r>
      <w:r w:rsidR="008D7ADD">
        <w:t xml:space="preserve">An order of 4G Communications Hubs </w:t>
      </w:r>
      <w:r w:rsidR="009462BF">
        <w:t xml:space="preserve">for delivery in the </w:t>
      </w:r>
      <w:r w:rsidR="00C153DE">
        <w:t>D</w:t>
      </w:r>
      <w:r w:rsidR="009A6CA1">
        <w:t xml:space="preserve">elivery </w:t>
      </w:r>
      <w:r w:rsidR="00C153DE">
        <w:t>M</w:t>
      </w:r>
      <w:r w:rsidR="009A6CA1">
        <w:t xml:space="preserve">onth </w:t>
      </w:r>
      <w:r w:rsidR="00BC502F">
        <w:t xml:space="preserve">of </w:t>
      </w:r>
      <w:r w:rsidR="00025C14">
        <w:t>August 2025</w:t>
      </w:r>
      <w:r w:rsidR="008D7ADD">
        <w:t xml:space="preserve"> </w:t>
      </w:r>
      <w:r w:rsidR="00B26609">
        <w:t>shall</w:t>
      </w:r>
      <w:r w:rsidR="008D7ADD">
        <w:t xml:space="preserve"> have the tolerances specified in Section F5.10 applied to the forecast </w:t>
      </w:r>
      <w:r w:rsidR="00F52183">
        <w:t xml:space="preserve">for this </w:t>
      </w:r>
      <w:r w:rsidR="003E2340">
        <w:t>Delivery Month</w:t>
      </w:r>
      <w:r w:rsidR="00F52183">
        <w:t xml:space="preserve"> </w:t>
      </w:r>
      <w:r w:rsidR="008D7ADD">
        <w:t xml:space="preserve">submitted in accordance with Clause 6.2(a) </w:t>
      </w:r>
      <w:proofErr w:type="gramStart"/>
      <w:r w:rsidR="008D7ADD">
        <w:t>above</w:t>
      </w:r>
      <w:r w:rsidR="004864DA">
        <w:t>;</w:t>
      </w:r>
      <w:bookmarkEnd w:id="85"/>
      <w:proofErr w:type="gramEnd"/>
    </w:p>
    <w:p w14:paraId="6C56F914" w14:textId="773934C6" w:rsidR="006F4133" w:rsidRDefault="0075399D" w:rsidP="00B96CEE">
      <w:pPr>
        <w:pStyle w:val="Heading3"/>
        <w:numPr>
          <w:ilvl w:val="0"/>
          <w:numId w:val="0"/>
        </w:numPr>
        <w:ind w:left="1440" w:hanging="720"/>
      </w:pPr>
      <w:bookmarkStart w:id="86" w:name="_Toc219897107"/>
      <w:r>
        <w:t>(</w:t>
      </w:r>
      <w:r w:rsidR="00B05F60">
        <w:t>d</w:t>
      </w:r>
      <w:r>
        <w:t>)</w:t>
      </w:r>
      <w:r w:rsidR="00DE7FBA">
        <w:tab/>
      </w:r>
      <w:r w:rsidR="006F4133">
        <w:t xml:space="preserve">An order of 4G Communications Hubs </w:t>
      </w:r>
      <w:r w:rsidR="00DE7FBA">
        <w:t xml:space="preserve">for delivery in the </w:t>
      </w:r>
      <w:r w:rsidR="00C153DE">
        <w:t>D</w:t>
      </w:r>
      <w:r w:rsidR="00413001">
        <w:t xml:space="preserve">elivery </w:t>
      </w:r>
      <w:r w:rsidR="00C153DE">
        <w:t>M</w:t>
      </w:r>
      <w:r w:rsidR="00413001">
        <w:t>onth</w:t>
      </w:r>
      <w:r w:rsidR="00DE7FBA">
        <w:t xml:space="preserve"> </w:t>
      </w:r>
      <w:r w:rsidR="00BC502F">
        <w:t xml:space="preserve">of </w:t>
      </w:r>
      <w:r w:rsidR="009A4DFE">
        <w:t>September 2025</w:t>
      </w:r>
      <w:r w:rsidR="000F7E6A">
        <w:t xml:space="preserve"> </w:t>
      </w:r>
      <w:r w:rsidR="00B26609">
        <w:t xml:space="preserve">shall </w:t>
      </w:r>
      <w:r w:rsidR="006F4133">
        <w:t>have</w:t>
      </w:r>
      <w:r w:rsidR="00F52183">
        <w:t xml:space="preserve"> the</w:t>
      </w:r>
      <w:r w:rsidR="006F4133">
        <w:t xml:space="preserve"> tolerances </w:t>
      </w:r>
      <w:r w:rsidR="00F52183">
        <w:t xml:space="preserve">specified in Section F5.10 </w:t>
      </w:r>
      <w:r w:rsidR="006F4133">
        <w:t>applied to the forecast submitted</w:t>
      </w:r>
      <w:r w:rsidR="004864DA">
        <w:t xml:space="preserve"> for this </w:t>
      </w:r>
      <w:r w:rsidR="0006108A">
        <w:t>Delivery Month</w:t>
      </w:r>
      <w:r w:rsidR="006F4133">
        <w:t xml:space="preserve"> in accordance with Clause 6.</w:t>
      </w:r>
      <w:r w:rsidR="00A30BC1">
        <w:t>2</w:t>
      </w:r>
      <w:r w:rsidR="006F4133">
        <w:t xml:space="preserve">(b) </w:t>
      </w:r>
      <w:proofErr w:type="gramStart"/>
      <w:r w:rsidR="006F4133">
        <w:t>above;</w:t>
      </w:r>
      <w:bookmarkEnd w:id="86"/>
      <w:proofErr w:type="gramEnd"/>
    </w:p>
    <w:p w14:paraId="41E28F7E" w14:textId="6F37DED3" w:rsidR="00B229C1" w:rsidRPr="00B229C1" w:rsidRDefault="0040780D" w:rsidP="00B96CEE">
      <w:pPr>
        <w:pStyle w:val="Heading3"/>
        <w:numPr>
          <w:ilvl w:val="0"/>
          <w:numId w:val="0"/>
        </w:numPr>
        <w:ind w:left="1440" w:hanging="720"/>
      </w:pPr>
      <w:bookmarkStart w:id="87" w:name="_Toc219897108"/>
      <w:r>
        <w:t>(</w:t>
      </w:r>
      <w:r w:rsidR="00B05F60">
        <w:t>e</w:t>
      </w:r>
      <w:r>
        <w:t>)</w:t>
      </w:r>
      <w:r>
        <w:tab/>
      </w:r>
      <w:r w:rsidR="00B229C1">
        <w:t xml:space="preserve">An order of 4G Communications Hubs </w:t>
      </w:r>
      <w:r w:rsidR="006115B8">
        <w:t xml:space="preserve">for delivery in the </w:t>
      </w:r>
      <w:r w:rsidR="00C153DE">
        <w:t>D</w:t>
      </w:r>
      <w:r w:rsidR="00413001">
        <w:t xml:space="preserve">elivery </w:t>
      </w:r>
      <w:r w:rsidR="00C153DE">
        <w:t>M</w:t>
      </w:r>
      <w:r w:rsidR="00413001">
        <w:t xml:space="preserve">onth </w:t>
      </w:r>
      <w:r w:rsidR="00756772">
        <w:t xml:space="preserve">of </w:t>
      </w:r>
      <w:r w:rsidR="0035720F">
        <w:t>October 2025</w:t>
      </w:r>
      <w:r w:rsidR="00B229C1">
        <w:t xml:space="preserve"> </w:t>
      </w:r>
      <w:r w:rsidR="00B26609">
        <w:t>shall</w:t>
      </w:r>
      <w:r w:rsidR="00B229C1">
        <w:t xml:space="preserve"> have </w:t>
      </w:r>
      <w:r w:rsidR="006D1369">
        <w:t xml:space="preserve">the </w:t>
      </w:r>
      <w:r w:rsidR="00B229C1">
        <w:t xml:space="preserve">tolerances </w:t>
      </w:r>
      <w:r w:rsidR="006D1369">
        <w:t xml:space="preserve">specified in Section F5.10 </w:t>
      </w:r>
      <w:r w:rsidR="00B229C1">
        <w:t xml:space="preserve">applied to the forecast </w:t>
      </w:r>
      <w:r w:rsidR="006D1369">
        <w:t xml:space="preserve">for this </w:t>
      </w:r>
      <w:r w:rsidR="00772955">
        <w:t>Delivery Month</w:t>
      </w:r>
      <w:r w:rsidR="006D1369">
        <w:t xml:space="preserve"> </w:t>
      </w:r>
      <w:r w:rsidR="00B229C1">
        <w:t>submitted in accordance with Clause 6.</w:t>
      </w:r>
      <w:r w:rsidR="00285EB8">
        <w:t>2</w:t>
      </w:r>
      <w:r w:rsidR="00B229C1">
        <w:t>(</w:t>
      </w:r>
      <w:r w:rsidR="00561F9F">
        <w:t>c</w:t>
      </w:r>
      <w:r w:rsidR="00B229C1">
        <w:t>) above;</w:t>
      </w:r>
      <w:r w:rsidR="00BA000B">
        <w:t xml:space="preserve"> and</w:t>
      </w:r>
      <w:bookmarkEnd w:id="87"/>
    </w:p>
    <w:p w14:paraId="203FEC17" w14:textId="4BC00CB8" w:rsidR="004864DA" w:rsidRDefault="00582DF1" w:rsidP="00B96CEE">
      <w:pPr>
        <w:pStyle w:val="Heading3"/>
        <w:numPr>
          <w:ilvl w:val="0"/>
          <w:numId w:val="0"/>
        </w:numPr>
        <w:ind w:left="1440" w:hanging="720"/>
      </w:pPr>
      <w:bookmarkStart w:id="88" w:name="_Toc219897109"/>
      <w:r>
        <w:lastRenderedPageBreak/>
        <w:t>(</w:t>
      </w:r>
      <w:r w:rsidR="00B05F60">
        <w:t>f</w:t>
      </w:r>
      <w:r>
        <w:t>)</w:t>
      </w:r>
      <w:r>
        <w:tab/>
      </w:r>
      <w:r w:rsidR="004864DA">
        <w:t xml:space="preserve">An order of 4G Communications Hubs </w:t>
      </w:r>
      <w:r>
        <w:t xml:space="preserve">for delivery in the </w:t>
      </w:r>
      <w:r w:rsidR="00C153DE">
        <w:t>D</w:t>
      </w:r>
      <w:r w:rsidR="00267707">
        <w:t xml:space="preserve">elivery </w:t>
      </w:r>
      <w:r w:rsidR="00C153DE">
        <w:t>M</w:t>
      </w:r>
      <w:r w:rsidR="00267707">
        <w:t>onth</w:t>
      </w:r>
      <w:r>
        <w:t xml:space="preserve"> </w:t>
      </w:r>
      <w:r w:rsidR="00756772">
        <w:t xml:space="preserve">of </w:t>
      </w:r>
      <w:r w:rsidR="00772955">
        <w:t>November 2025</w:t>
      </w:r>
      <w:r w:rsidR="004864DA">
        <w:t xml:space="preserve"> </w:t>
      </w:r>
      <w:r w:rsidR="00B26609">
        <w:t>shall</w:t>
      </w:r>
      <w:r w:rsidR="004864DA">
        <w:t xml:space="preserve"> have the tolerances specified in Section F5.10 applied to the forecast for this </w:t>
      </w:r>
      <w:r w:rsidR="00772955">
        <w:t>Delivery Month</w:t>
      </w:r>
      <w:r w:rsidR="004864DA">
        <w:t xml:space="preserve"> submitted in accordance with Clause 6.2(c) above</w:t>
      </w:r>
      <w:r w:rsidR="00261022">
        <w:t>.</w:t>
      </w:r>
      <w:bookmarkEnd w:id="88"/>
    </w:p>
    <w:p w14:paraId="3B7CE277" w14:textId="5A25CB7A" w:rsidR="00DF0A7C" w:rsidRPr="00DF0A7C" w:rsidRDefault="003C145E" w:rsidP="00687F5D">
      <w:pPr>
        <w:pStyle w:val="Heading2"/>
        <w:numPr>
          <w:ilvl w:val="0"/>
          <w:numId w:val="0"/>
        </w:numPr>
        <w:ind w:left="709" w:hanging="709"/>
      </w:pPr>
      <w:bookmarkStart w:id="89" w:name="_Toc219897110"/>
      <w:r>
        <w:t>6.</w:t>
      </w:r>
      <w:r w:rsidR="00952611">
        <w:t>4</w:t>
      </w:r>
      <w:r>
        <w:tab/>
      </w:r>
      <w:r w:rsidR="00DF0A7C">
        <w:t xml:space="preserve">Where any </w:t>
      </w:r>
      <w:r w:rsidR="005C5463">
        <w:t xml:space="preserve">dates </w:t>
      </w:r>
      <w:r w:rsidR="00DF0A7C">
        <w:t xml:space="preserve">of the </w:t>
      </w:r>
      <w:r w:rsidR="00813F26">
        <w:t>Delivery Months</w:t>
      </w:r>
      <w:r w:rsidR="00DF0A7C">
        <w:t xml:space="preserve"> referenced in Clauses 6.</w:t>
      </w:r>
      <w:r w:rsidR="00B32C6C">
        <w:t>2</w:t>
      </w:r>
      <w:r w:rsidR="00DF0A7C">
        <w:t xml:space="preserve"> and 6.</w:t>
      </w:r>
      <w:r w:rsidR="00B32C6C">
        <w:t>3</w:t>
      </w:r>
      <w:r w:rsidR="00DF0A7C">
        <w:t xml:space="preserve"> above are changed after a Party has submitted a </w:t>
      </w:r>
      <w:r w:rsidR="00F873D0" w:rsidRPr="00630802">
        <w:t>Communications Hub F</w:t>
      </w:r>
      <w:r w:rsidR="00DF0A7C" w:rsidRPr="00630802">
        <w:t>orecast or a</w:t>
      </w:r>
      <w:r w:rsidR="00F873D0" w:rsidRPr="00630802">
        <w:t xml:space="preserve"> Communications Hub O</w:t>
      </w:r>
      <w:r w:rsidR="00DF0A7C" w:rsidRPr="00630802">
        <w:t xml:space="preserve">rder </w:t>
      </w:r>
      <w:r w:rsidR="00DF0A7C">
        <w:t xml:space="preserve">associated with that </w:t>
      </w:r>
      <w:r w:rsidR="00813F26">
        <w:t>Delivery Month</w:t>
      </w:r>
      <w:r w:rsidR="00DF0A7C">
        <w:t xml:space="preserve">, the Party shall not be required to resubmit the </w:t>
      </w:r>
      <w:r w:rsidR="00EF2FC7" w:rsidRPr="00630802">
        <w:t xml:space="preserve">Communications Hub Forecast </w:t>
      </w:r>
      <w:r w:rsidR="00DF0A7C">
        <w:t xml:space="preserve">or the </w:t>
      </w:r>
      <w:r w:rsidR="00EF2FC7" w:rsidRPr="00630802">
        <w:t xml:space="preserve">Communications Hub Order </w:t>
      </w:r>
      <w:r w:rsidR="00DF0A7C">
        <w:t xml:space="preserve">and the DCC shall continue to process the original </w:t>
      </w:r>
      <w:r w:rsidR="00195922">
        <w:t>Communications Hub F</w:t>
      </w:r>
      <w:r w:rsidR="00DF0A7C">
        <w:t xml:space="preserve">orecast or </w:t>
      </w:r>
      <w:r w:rsidR="00195922">
        <w:t>Communications Hub O</w:t>
      </w:r>
      <w:r w:rsidR="00DF0A7C">
        <w:t>rder</w:t>
      </w:r>
      <w:r w:rsidR="00C30700">
        <w:t xml:space="preserve"> as though the </w:t>
      </w:r>
      <w:r w:rsidR="00DB05E4" w:rsidRPr="00630802">
        <w:t xml:space="preserve">Communications Hub Forecast </w:t>
      </w:r>
      <w:r w:rsidR="00C30700">
        <w:t xml:space="preserve">or </w:t>
      </w:r>
      <w:r w:rsidR="00DB05E4" w:rsidRPr="00630802">
        <w:t xml:space="preserve">Communications Hub Order </w:t>
      </w:r>
      <w:r w:rsidR="00C30700">
        <w:t>was for the revised delivery date</w:t>
      </w:r>
      <w:r w:rsidR="00971FD8">
        <w:t xml:space="preserve">s </w:t>
      </w:r>
      <w:r w:rsidR="00EA140B">
        <w:t xml:space="preserve">for the </w:t>
      </w:r>
      <w:r w:rsidR="008140F7">
        <w:t xml:space="preserve">relevant </w:t>
      </w:r>
      <w:r w:rsidR="00E66774">
        <w:t>Delivery Month</w:t>
      </w:r>
      <w:r w:rsidR="00DF0A7C">
        <w:t>.</w:t>
      </w:r>
      <w:bookmarkEnd w:id="89"/>
    </w:p>
    <w:p w14:paraId="291773F7" w14:textId="718FFC29" w:rsidR="005053E6" w:rsidRDefault="005053E6" w:rsidP="0058060D">
      <w:pPr>
        <w:pStyle w:val="Heading1"/>
        <w:rPr>
          <w:rFonts w:ascii="Segoe UI" w:hAnsi="Segoe UI" w:cs="Segoe UI"/>
          <w:sz w:val="18"/>
          <w:szCs w:val="18"/>
        </w:rPr>
      </w:pPr>
      <w:bookmarkStart w:id="90" w:name="_Toc219897111"/>
      <w:bookmarkStart w:id="91" w:name="_Toc219900425"/>
      <w:bookmarkEnd w:id="76"/>
      <w:r>
        <w:rPr>
          <w:rStyle w:val="eop"/>
        </w:rPr>
        <w:t>M</w:t>
      </w:r>
      <w:r w:rsidR="00244368">
        <w:rPr>
          <w:rStyle w:val="eop"/>
        </w:rPr>
        <w:t>esh</w:t>
      </w:r>
      <w:r>
        <w:rPr>
          <w:rStyle w:val="eop"/>
        </w:rPr>
        <w:t xml:space="preserve"> Communications Hubs</w:t>
      </w:r>
      <w:bookmarkEnd w:id="90"/>
      <w:bookmarkEnd w:id="91"/>
    </w:p>
    <w:p w14:paraId="5268C5F9" w14:textId="4E85993D" w:rsidR="00513479" w:rsidRDefault="008537DB" w:rsidP="001F2ABF">
      <w:pPr>
        <w:pStyle w:val="Heading2"/>
      </w:pPr>
      <w:bookmarkStart w:id="92" w:name="_Toc219897112"/>
      <w:r w:rsidRPr="008537DB">
        <w:t xml:space="preserve">Once this Code has been amended to include obligations on </w:t>
      </w:r>
      <w:r w:rsidR="005D7614">
        <w:t xml:space="preserve">Supplier </w:t>
      </w:r>
      <w:r w:rsidR="009E225B">
        <w:t xml:space="preserve">Parties </w:t>
      </w:r>
      <w:r w:rsidR="00F000BC">
        <w:t xml:space="preserve">on </w:t>
      </w:r>
      <w:r w:rsidR="00E330E0">
        <w:t xml:space="preserve">the replacement of </w:t>
      </w:r>
      <w:r w:rsidR="00F0595A">
        <w:t>Mesh Communications Hubs</w:t>
      </w:r>
      <w:r w:rsidR="00F45A9C">
        <w:t xml:space="preserve"> and Special Installation Mesh Communications Hubs</w:t>
      </w:r>
      <w:r w:rsidRPr="008537DB">
        <w:t xml:space="preserve"> </w:t>
      </w:r>
      <w:r w:rsidR="0060300E">
        <w:t>with 4G Communications Hubs</w:t>
      </w:r>
      <w:r w:rsidR="00E330E0" w:rsidDel="006B5E18">
        <w:t xml:space="preserve"> </w:t>
      </w:r>
      <w:r w:rsidRPr="008537DB">
        <w:t xml:space="preserve">under </w:t>
      </w:r>
      <w:r w:rsidR="003B0FCA">
        <w:t>Appendix I</w:t>
      </w:r>
      <w:r w:rsidRPr="008537DB">
        <w:t xml:space="preserve"> (</w:t>
      </w:r>
      <w:r w:rsidR="007207BF" w:rsidRPr="007207BF">
        <w:t>CH Installation and Maintenance Support Materials</w:t>
      </w:r>
      <w:r w:rsidRPr="008537DB">
        <w:t xml:space="preserve">), the provisions </w:t>
      </w:r>
      <w:r w:rsidR="00EC7922">
        <w:t xml:space="preserve">in </w:t>
      </w:r>
      <w:r w:rsidR="00960C0B">
        <w:t>C</w:t>
      </w:r>
      <w:r w:rsidR="006842B2">
        <w:t xml:space="preserve">lause </w:t>
      </w:r>
      <w:r w:rsidR="00E957B3">
        <w:t>8.1</w:t>
      </w:r>
      <w:r w:rsidR="00F33DC2">
        <w:t>6</w:t>
      </w:r>
      <w:r w:rsidR="00E957B3">
        <w:t xml:space="preserve"> of Appendix I</w:t>
      </w:r>
      <w:r w:rsidRPr="008537DB">
        <w:t xml:space="preserve"> shall </w:t>
      </w:r>
      <w:r w:rsidR="00843490">
        <w:t xml:space="preserve">not </w:t>
      </w:r>
      <w:r w:rsidRPr="008537DB">
        <w:t xml:space="preserve">apply </w:t>
      </w:r>
      <w:r w:rsidR="00843490">
        <w:t xml:space="preserve">until the end of the Initial Pallet Validation Stage </w:t>
      </w:r>
      <w:r w:rsidRPr="008537DB">
        <w:t>(notwithstanding the other provisions of the Code)</w:t>
      </w:r>
      <w:r w:rsidR="00843490">
        <w:t>.</w:t>
      </w:r>
      <w:bookmarkEnd w:id="92"/>
    </w:p>
    <w:p w14:paraId="26783AB6" w14:textId="2602E5E3" w:rsidR="00BE46F5" w:rsidRDefault="00614237" w:rsidP="001F2ABF">
      <w:pPr>
        <w:pStyle w:val="Heading2"/>
      </w:pPr>
      <w:bookmarkStart w:id="93" w:name="_Toc219897113"/>
      <w:r w:rsidRPr="00614237">
        <w:t>Subject to Clause 7.</w:t>
      </w:r>
      <w:r w:rsidR="0080004F">
        <w:t>3</w:t>
      </w:r>
      <w:r w:rsidR="009A4104">
        <w:t xml:space="preserve"> </w:t>
      </w:r>
      <w:r w:rsidRPr="00614237">
        <w:t>below, a Supplier Party shall not replace a</w:t>
      </w:r>
      <w:r w:rsidR="00233B66">
        <w:t>ny</w:t>
      </w:r>
      <w:r w:rsidRPr="00614237">
        <w:t xml:space="preserve"> Mesh Communications Hub </w:t>
      </w:r>
      <w:r w:rsidR="004701C2">
        <w:t xml:space="preserve">or Special Installation Mesh Communications Hub </w:t>
      </w:r>
      <w:r w:rsidRPr="00614237">
        <w:t xml:space="preserve">with a 4G Communications Hub until the </w:t>
      </w:r>
      <w:r w:rsidR="005D29CE">
        <w:t>end of the Initial Pallet Validation Stage</w:t>
      </w:r>
      <w:r w:rsidR="00212CA0">
        <w:t>.</w:t>
      </w:r>
      <w:bookmarkEnd w:id="93"/>
    </w:p>
    <w:p w14:paraId="30DBA0EF" w14:textId="395269C7" w:rsidR="00875A6C" w:rsidRDefault="00C44097" w:rsidP="001F2ABF">
      <w:pPr>
        <w:pStyle w:val="Heading2"/>
      </w:pPr>
      <w:bookmarkStart w:id="94" w:name="_Toc219897114"/>
      <w:r>
        <w:t>A</w:t>
      </w:r>
      <w:r w:rsidR="007F107D">
        <w:t xml:space="preserve"> </w:t>
      </w:r>
      <w:r w:rsidR="00875A6C">
        <w:t>Supplier P</w:t>
      </w:r>
      <w:r w:rsidR="007F107D">
        <w:t xml:space="preserve">arty may replace a </w:t>
      </w:r>
      <w:r w:rsidR="00CD602A">
        <w:t>Mesh</w:t>
      </w:r>
      <w:r w:rsidR="007F107D">
        <w:t xml:space="preserve"> Communications Hub </w:t>
      </w:r>
      <w:r w:rsidR="00676E0A">
        <w:t xml:space="preserve">with a 4G Communications Hub </w:t>
      </w:r>
      <w:r w:rsidR="002B4EA7">
        <w:t>during the Initial Pallet Validation Stage</w:t>
      </w:r>
      <w:r w:rsidR="002348A5">
        <w:t>,</w:t>
      </w:r>
      <w:r w:rsidR="00E2177F">
        <w:t xml:space="preserve"> </w:t>
      </w:r>
      <w:r w:rsidR="00875A6C">
        <w:t>as follows:</w:t>
      </w:r>
      <w:bookmarkEnd w:id="94"/>
    </w:p>
    <w:p w14:paraId="6962BBC1" w14:textId="6B63FE03" w:rsidR="001900C7" w:rsidRDefault="003E5155" w:rsidP="00875A6C">
      <w:pPr>
        <w:pStyle w:val="Heading3"/>
      </w:pPr>
      <w:bookmarkStart w:id="95" w:name="_Toc219897115"/>
      <w:r>
        <w:t xml:space="preserve">Before the commencement of the Initial Pallet </w:t>
      </w:r>
      <w:r w:rsidR="00E02C7C">
        <w:t>V</w:t>
      </w:r>
      <w:r>
        <w:t>alidation Stage, t</w:t>
      </w:r>
      <w:r w:rsidR="001900C7">
        <w:t xml:space="preserve">he DCC shall make available to Supplier Parties at least one DCC contact telephone number and one DCC email address for the purposes of </w:t>
      </w:r>
      <w:r w:rsidR="00CD602A">
        <w:t>replacing M</w:t>
      </w:r>
      <w:r w:rsidR="007A74AD">
        <w:t>esh</w:t>
      </w:r>
      <w:r w:rsidR="00CD602A">
        <w:t xml:space="preserve"> Communications Hu</w:t>
      </w:r>
      <w:r w:rsidR="008F5014">
        <w:t>b</w:t>
      </w:r>
      <w:r w:rsidR="00CD602A">
        <w:t>s</w:t>
      </w:r>
      <w:r w:rsidR="0083770D">
        <w:t xml:space="preserve"> with 4G Communications </w:t>
      </w:r>
      <w:proofErr w:type="gramStart"/>
      <w:r w:rsidR="0083770D">
        <w:t>Hubs</w:t>
      </w:r>
      <w:r w:rsidR="00C44AE5">
        <w:t>;</w:t>
      </w:r>
      <w:bookmarkEnd w:id="95"/>
      <w:proofErr w:type="gramEnd"/>
    </w:p>
    <w:p w14:paraId="6F3D93A5" w14:textId="4FBCC818" w:rsidR="00620DB2" w:rsidRPr="00620DB2" w:rsidRDefault="0021462C" w:rsidP="00620DB2">
      <w:pPr>
        <w:pStyle w:val="Heading3"/>
        <w:rPr>
          <w:iCs/>
          <w:szCs w:val="28"/>
        </w:rPr>
      </w:pPr>
      <w:bookmarkStart w:id="96" w:name="_Toc219897116"/>
      <w:r>
        <w:t>Before the commencement of the Initial Pallet Validation Stage, t</w:t>
      </w:r>
      <w:r w:rsidR="00875A6C">
        <w:t xml:space="preserve">he Supplier </w:t>
      </w:r>
      <w:r w:rsidR="00875A6C">
        <w:rPr>
          <w:iCs/>
          <w:szCs w:val="28"/>
        </w:rPr>
        <w:t xml:space="preserve">Party </w:t>
      </w:r>
      <w:r w:rsidR="00CD602A">
        <w:rPr>
          <w:iCs/>
          <w:szCs w:val="28"/>
        </w:rPr>
        <w:t xml:space="preserve">may </w:t>
      </w:r>
      <w:r w:rsidR="00875A6C">
        <w:rPr>
          <w:iCs/>
          <w:szCs w:val="28"/>
        </w:rPr>
        <w:t xml:space="preserve">contact the DCC </w:t>
      </w:r>
      <w:r w:rsidR="00E15A42">
        <w:rPr>
          <w:iCs/>
          <w:szCs w:val="28"/>
        </w:rPr>
        <w:t xml:space="preserve">using the contact details in clause </w:t>
      </w:r>
      <w:r w:rsidR="008F5014">
        <w:rPr>
          <w:iCs/>
          <w:szCs w:val="28"/>
        </w:rPr>
        <w:t>7.</w:t>
      </w:r>
      <w:r w:rsidR="006524D5">
        <w:rPr>
          <w:iCs/>
          <w:szCs w:val="28"/>
        </w:rPr>
        <w:t>3</w:t>
      </w:r>
      <w:r w:rsidR="008F5014">
        <w:rPr>
          <w:iCs/>
          <w:szCs w:val="28"/>
        </w:rPr>
        <w:t xml:space="preserve">(a) requesting details </w:t>
      </w:r>
      <w:r w:rsidR="008F5014">
        <w:rPr>
          <w:iCs/>
          <w:szCs w:val="28"/>
        </w:rPr>
        <w:lastRenderedPageBreak/>
        <w:t xml:space="preserve">of Mesh Communications Hubs that can be </w:t>
      </w:r>
      <w:r w:rsidR="0083770D">
        <w:rPr>
          <w:iCs/>
          <w:szCs w:val="28"/>
        </w:rPr>
        <w:t xml:space="preserve">replaced with a 4G Communications Hub </w:t>
      </w:r>
      <w:r w:rsidR="008F5014">
        <w:rPr>
          <w:iCs/>
          <w:szCs w:val="28"/>
        </w:rPr>
        <w:t xml:space="preserve">during the </w:t>
      </w:r>
      <w:r w:rsidR="0011405E">
        <w:rPr>
          <w:iCs/>
          <w:szCs w:val="28"/>
        </w:rPr>
        <w:t xml:space="preserve">Initial Pallet Validation </w:t>
      </w:r>
      <w:proofErr w:type="gramStart"/>
      <w:r w:rsidR="0011405E">
        <w:rPr>
          <w:iCs/>
          <w:szCs w:val="28"/>
        </w:rPr>
        <w:t>Stage</w:t>
      </w:r>
      <w:r w:rsidR="00C44AE5">
        <w:rPr>
          <w:iCs/>
          <w:szCs w:val="28"/>
        </w:rPr>
        <w:t>;</w:t>
      </w:r>
      <w:bookmarkEnd w:id="96"/>
      <w:proofErr w:type="gramEnd"/>
    </w:p>
    <w:p w14:paraId="680BDD31" w14:textId="5053AD67" w:rsidR="002300E9" w:rsidRDefault="00D01D0F" w:rsidP="004C75E3">
      <w:pPr>
        <w:pStyle w:val="Heading3"/>
      </w:pPr>
      <w:bookmarkStart w:id="97" w:name="_Toc219897117"/>
      <w:r>
        <w:t>In response to a request under Clause 7.</w:t>
      </w:r>
      <w:r w:rsidR="006524D5">
        <w:t>3</w:t>
      </w:r>
      <w:r>
        <w:t>(b), t</w:t>
      </w:r>
      <w:r w:rsidR="0005254B">
        <w:t xml:space="preserve">he </w:t>
      </w:r>
      <w:r w:rsidR="0099245B">
        <w:t xml:space="preserve">DCC </w:t>
      </w:r>
      <w:r w:rsidR="00216A57">
        <w:t>shall</w:t>
      </w:r>
      <w:r w:rsidR="0099245B">
        <w:t xml:space="preserve"> provide </w:t>
      </w:r>
      <w:r w:rsidR="003F1DC4">
        <w:t xml:space="preserve">the Supplier Party with </w:t>
      </w:r>
      <w:r w:rsidR="00E65526">
        <w:t xml:space="preserve">a list of </w:t>
      </w:r>
      <w:r w:rsidR="00AE590C">
        <w:t xml:space="preserve">the </w:t>
      </w:r>
      <w:r w:rsidR="005C67EE">
        <w:t>Device IDs</w:t>
      </w:r>
      <w:r w:rsidR="0099245B">
        <w:t xml:space="preserve"> of </w:t>
      </w:r>
      <w:r w:rsidR="00AE590C">
        <w:t xml:space="preserve">each </w:t>
      </w:r>
      <w:r w:rsidR="00346000">
        <w:t xml:space="preserve">Mesh Communications Hub </w:t>
      </w:r>
      <w:r w:rsidR="00AE590C">
        <w:t xml:space="preserve">that </w:t>
      </w:r>
      <w:r w:rsidR="00E00AF7">
        <w:t>has</w:t>
      </w:r>
      <w:r w:rsidR="00855DEE">
        <w:t xml:space="preserve"> not</w:t>
      </w:r>
      <w:r w:rsidR="00855DEE" w:rsidRPr="006D023F">
        <w:t xml:space="preserve"> been an Active Mesh Gateway Communications Hub or an Active Mesh Hop Communications Hub in the six-month period preceding the </w:t>
      </w:r>
      <w:r w:rsidR="00276541">
        <w:t xml:space="preserve">request </w:t>
      </w:r>
      <w:r w:rsidR="00155CDE">
        <w:t>under</w:t>
      </w:r>
      <w:r w:rsidR="00276541">
        <w:t xml:space="preserve"> Clause 7.3(b)</w:t>
      </w:r>
      <w:r w:rsidR="002300E9">
        <w:t>;</w:t>
      </w:r>
      <w:r w:rsidR="0094085D">
        <w:t xml:space="preserve"> </w:t>
      </w:r>
      <w:r w:rsidR="00D368C3">
        <w:t>and</w:t>
      </w:r>
      <w:bookmarkEnd w:id="97"/>
    </w:p>
    <w:p w14:paraId="48FAB600" w14:textId="1345C827" w:rsidR="0099245B" w:rsidRPr="00240FE5" w:rsidRDefault="0058308F" w:rsidP="004C75E3">
      <w:pPr>
        <w:pStyle w:val="Heading3"/>
      </w:pPr>
      <w:bookmarkStart w:id="98" w:name="_Toc219897118"/>
      <w:r>
        <w:t>The</w:t>
      </w:r>
      <w:r w:rsidR="001D5A25">
        <w:t xml:space="preserve"> Supplier Party may replace</w:t>
      </w:r>
      <w:r w:rsidR="000873E7">
        <w:t xml:space="preserve"> </w:t>
      </w:r>
      <w:r w:rsidR="004B7975">
        <w:t xml:space="preserve">only </w:t>
      </w:r>
      <w:r w:rsidR="00FB02F2">
        <w:t xml:space="preserve">those Mesh Communications Hubs provided by the DCC under Clause 7.3(c) </w:t>
      </w:r>
      <w:r w:rsidR="00276E8E">
        <w:t xml:space="preserve">for which it is the Responsible Supplier, </w:t>
      </w:r>
      <w:r w:rsidR="000873E7">
        <w:t xml:space="preserve">with a 4G Communications Hub during the Initial Pallet Validation </w:t>
      </w:r>
      <w:r w:rsidR="00A27C35">
        <w:t>Stage</w:t>
      </w:r>
      <w:r w:rsidR="00AB7094">
        <w:t>.</w:t>
      </w:r>
      <w:bookmarkEnd w:id="98"/>
    </w:p>
    <w:p w14:paraId="23966078" w14:textId="78DE257B" w:rsidR="001F2ABF" w:rsidRPr="00240FE5" w:rsidRDefault="00240FE5" w:rsidP="00240FE5">
      <w:pPr>
        <w:pStyle w:val="Heading1"/>
        <w:rPr>
          <w:rFonts w:ascii="Times New Roman" w:hAnsi="Times New Roman" w:cs="Times New Roman"/>
          <w:szCs w:val="24"/>
        </w:rPr>
      </w:pPr>
      <w:bookmarkStart w:id="99" w:name="_Toc219897119"/>
      <w:bookmarkStart w:id="100" w:name="_Toc219900426"/>
      <w:r w:rsidRPr="00240FE5">
        <w:rPr>
          <w:rFonts w:ascii="Times New Roman" w:hAnsi="Times New Roman" w:cs="Times New Roman"/>
          <w:szCs w:val="24"/>
        </w:rPr>
        <w:t>Initial Pallet Manufacture</w:t>
      </w:r>
      <w:bookmarkEnd w:id="99"/>
      <w:bookmarkEnd w:id="100"/>
    </w:p>
    <w:p w14:paraId="47025523" w14:textId="4F8D5F92" w:rsidR="00240FE5" w:rsidRPr="00334CDF" w:rsidRDefault="00240FE5" w:rsidP="00334CDF">
      <w:pPr>
        <w:pStyle w:val="Heading2"/>
      </w:pPr>
      <w:bookmarkStart w:id="101" w:name="_Toc219897120"/>
      <w:proofErr w:type="gramStart"/>
      <w:r w:rsidRPr="00334CDF">
        <w:t>In order to</w:t>
      </w:r>
      <w:proofErr w:type="gramEnd"/>
      <w:r w:rsidRPr="00334CDF">
        <w:t xml:space="preserve"> send and receive messages to and from 4G Communications Hubs, the DCC will be relying on </w:t>
      </w:r>
      <w:r w:rsidR="1DAA52DA" w:rsidRPr="00334CDF">
        <w:t xml:space="preserve">the services of </w:t>
      </w:r>
      <w:proofErr w:type="gramStart"/>
      <w:r w:rsidR="3C16C2B4" w:rsidRPr="00334CDF">
        <w:t>a number of</w:t>
      </w:r>
      <w:proofErr w:type="gramEnd"/>
      <w:r w:rsidR="3C16C2B4" w:rsidRPr="00334CDF">
        <w:t xml:space="preserve"> new </w:t>
      </w:r>
      <w:r w:rsidRPr="00334CDF">
        <w:t>DCC Service Providers</w:t>
      </w:r>
      <w:r w:rsidR="00BF335B" w:rsidRPr="00334CDF">
        <w:t>.  A</w:t>
      </w:r>
      <w:r w:rsidR="0081769B" w:rsidRPr="00334CDF">
        <w:t xml:space="preserve">t the time of Initial Pallet Manufacture, these new </w:t>
      </w:r>
      <w:r w:rsidR="00CA6ED0" w:rsidRPr="00334CDF">
        <w:t>DCC Service Provider roles and services</w:t>
      </w:r>
      <w:r w:rsidR="5C885E8F" w:rsidRPr="00334CDF">
        <w:t xml:space="preserve"> will not </w:t>
      </w:r>
      <w:r w:rsidR="00BF335B" w:rsidRPr="00334CDF">
        <w:t xml:space="preserve">have </w:t>
      </w:r>
      <w:r w:rsidR="5C885E8F" w:rsidRPr="00334CDF">
        <w:t>be</w:t>
      </w:r>
      <w:r w:rsidR="006A4041" w:rsidRPr="00334CDF">
        <w:t>en</w:t>
      </w:r>
      <w:r w:rsidR="5C885E8F" w:rsidRPr="00334CDF">
        <w:t xml:space="preserve"> defined under the SEC</w:t>
      </w:r>
      <w:r w:rsidRPr="00334CDF">
        <w:t>. In order to permit the Issuing of Device Certificates and Organisation Certificates that will support the servi</w:t>
      </w:r>
      <w:r w:rsidR="01EAA1C3" w:rsidRPr="00334CDF">
        <w:t xml:space="preserve">ces to </w:t>
      </w:r>
      <w:r w:rsidR="4B003368" w:rsidRPr="00334CDF">
        <w:t>be provided by</w:t>
      </w:r>
      <w:r w:rsidRPr="00334CDF">
        <w:t xml:space="preserve"> these </w:t>
      </w:r>
      <w:r w:rsidR="1E583B57" w:rsidRPr="00334CDF">
        <w:t>new</w:t>
      </w:r>
      <w:r w:rsidRPr="00334CDF">
        <w:t xml:space="preserve"> DCC Service Providers </w:t>
      </w:r>
      <w:r w:rsidR="0F8D2014" w:rsidRPr="00334CDF">
        <w:t>in relation to the</w:t>
      </w:r>
      <w:r w:rsidRPr="00334CDF">
        <w:t xml:space="preserve"> 4G Communications Hubs, the Systems of these DCC Service Providers shall be treated as falling within limb (a) of the Definition of DCC Live Systems, including for the purposes of Section G (Security), Section L3.16 (Device Certificates) and Section L3.18 (Organisation Certificates and OCA Certificates).</w:t>
      </w:r>
      <w:bookmarkEnd w:id="101"/>
      <w:r w:rsidRPr="00334CDF">
        <w:t xml:space="preserve"> </w:t>
      </w:r>
    </w:p>
    <w:p w14:paraId="2FB597C3" w14:textId="70B8716D" w:rsidR="00751AAD" w:rsidRPr="00751AAD" w:rsidRDefault="00B41FC4" w:rsidP="00751AAD">
      <w:pPr>
        <w:pStyle w:val="Heading1"/>
        <w:rPr>
          <w:rFonts w:ascii="Times New Roman" w:hAnsi="Times New Roman" w:cs="Times New Roman"/>
          <w:szCs w:val="24"/>
        </w:rPr>
      </w:pPr>
      <w:bookmarkStart w:id="102" w:name="_Toc219897121"/>
      <w:bookmarkStart w:id="103" w:name="_Toc219900427"/>
      <w:r>
        <w:rPr>
          <w:rFonts w:ascii="Times New Roman" w:hAnsi="Times New Roman" w:cs="Times New Roman"/>
          <w:szCs w:val="24"/>
        </w:rPr>
        <w:t>General Provision</w:t>
      </w:r>
      <w:r w:rsidR="002A4A31">
        <w:rPr>
          <w:rFonts w:ascii="Times New Roman" w:hAnsi="Times New Roman" w:cs="Times New Roman"/>
          <w:szCs w:val="24"/>
        </w:rPr>
        <w:t>s</w:t>
      </w:r>
      <w:r w:rsidR="00616FCD">
        <w:rPr>
          <w:rFonts w:ascii="Times New Roman" w:hAnsi="Times New Roman" w:cs="Times New Roman"/>
          <w:szCs w:val="24"/>
        </w:rPr>
        <w:t xml:space="preserve"> Relating to T</w:t>
      </w:r>
      <w:r>
        <w:rPr>
          <w:rFonts w:ascii="Times New Roman" w:hAnsi="Times New Roman" w:cs="Times New Roman"/>
          <w:szCs w:val="24"/>
        </w:rPr>
        <w:t>ransition</w:t>
      </w:r>
      <w:bookmarkEnd w:id="102"/>
      <w:bookmarkEnd w:id="103"/>
    </w:p>
    <w:p w14:paraId="6B680E8F" w14:textId="5B703C0C" w:rsidR="001B4EC6" w:rsidRDefault="00D3490B" w:rsidP="003D447B">
      <w:pPr>
        <w:pStyle w:val="Heading2"/>
        <w:numPr>
          <w:ilvl w:val="0"/>
          <w:numId w:val="0"/>
        </w:numPr>
        <w:ind w:left="709" w:hanging="709"/>
      </w:pPr>
      <w:bookmarkStart w:id="104" w:name="_Toc219897122"/>
      <w:r>
        <w:t xml:space="preserve">9.1 </w:t>
      </w:r>
      <w:r w:rsidR="00E74CB7">
        <w:tab/>
      </w:r>
      <w:r w:rsidR="003D3547">
        <w:t>An order for a 4G Test Communications Hub submitted in accordance with Section F10 (SMETS2+ Test Communications Hubs) that was submitted prior to this Code being amended to include</w:t>
      </w:r>
      <w:r w:rsidR="00487BFE">
        <w:t xml:space="preserve"> either:</w:t>
      </w:r>
      <w:bookmarkEnd w:id="104"/>
    </w:p>
    <w:p w14:paraId="7F9FBF34" w14:textId="208FAAD3" w:rsidR="001B4EC6" w:rsidRDefault="003D3547" w:rsidP="001B4EC6">
      <w:pPr>
        <w:pStyle w:val="Heading3"/>
      </w:pPr>
      <w:bookmarkStart w:id="105" w:name="_Toc219897123"/>
      <w:r>
        <w:t>this Clause 9.</w:t>
      </w:r>
      <w:r w:rsidR="003D447B">
        <w:t>1</w:t>
      </w:r>
      <w:r w:rsidR="001B4EC6">
        <w:t>;</w:t>
      </w:r>
      <w:r>
        <w:t xml:space="preserve"> or</w:t>
      </w:r>
      <w:bookmarkEnd w:id="105"/>
    </w:p>
    <w:p w14:paraId="5B0F1EA4" w14:textId="571FB6B2" w:rsidR="001B4EC6" w:rsidRDefault="003D3547" w:rsidP="001B4EC6">
      <w:pPr>
        <w:pStyle w:val="Heading3"/>
      </w:pPr>
      <w:bookmarkStart w:id="106" w:name="_Toc219897124"/>
      <w:r>
        <w:t>obligations on the DCC to make 4G Communications Hubs available to order under Section F (Smart Metering System Requirements)</w:t>
      </w:r>
      <w:r w:rsidR="00800395">
        <w:t>,</w:t>
      </w:r>
      <w:bookmarkEnd w:id="106"/>
    </w:p>
    <w:p w14:paraId="2C43D75B" w14:textId="7E97AF5E" w:rsidR="003D3547" w:rsidRPr="00496B3F" w:rsidRDefault="003D3547" w:rsidP="005F4976">
      <w:pPr>
        <w:pStyle w:val="Heading2"/>
        <w:numPr>
          <w:ilvl w:val="0"/>
          <w:numId w:val="0"/>
        </w:numPr>
        <w:ind w:left="709"/>
      </w:pPr>
      <w:bookmarkStart w:id="107" w:name="_Toc219897125"/>
      <w:r>
        <w:t xml:space="preserve">shall be </w:t>
      </w:r>
      <w:r w:rsidRPr="0051438B">
        <w:t>deemed to have been submitted and will be subsequently</w:t>
      </w:r>
      <w:r>
        <w:t xml:space="preserve"> processed as though </w:t>
      </w:r>
      <w:r>
        <w:lastRenderedPageBreak/>
        <w:t>references in Section F10 to Test Communications Hubs had included 4G Test Communications Hubs</w:t>
      </w:r>
      <w:r w:rsidR="6DC1080D">
        <w:t xml:space="preserve"> at the time the order was submitted</w:t>
      </w:r>
      <w:r>
        <w:t>.</w:t>
      </w:r>
      <w:bookmarkEnd w:id="107"/>
    </w:p>
    <w:p w14:paraId="3BDE2B3A" w14:textId="4014BD3B" w:rsidR="007A2A62" w:rsidRDefault="51A5C747" w:rsidP="00F95004">
      <w:pPr>
        <w:pStyle w:val="Heading2"/>
      </w:pPr>
      <w:bookmarkStart w:id="108" w:name="_Toc219897126"/>
      <w:r>
        <w:t xml:space="preserve">In the period </w:t>
      </w:r>
      <w:r w:rsidR="7D2EB93C">
        <w:t>p</w:t>
      </w:r>
      <w:r w:rsidR="005D430B">
        <w:t xml:space="preserve">rior to this Code being amended to </w:t>
      </w:r>
      <w:r w:rsidR="000A6742">
        <w:t xml:space="preserve">introduce the concept </w:t>
      </w:r>
      <w:r w:rsidR="00254151">
        <w:t xml:space="preserve">of </w:t>
      </w:r>
      <w:r w:rsidR="004A4B04">
        <w:t>a 4G mobile communications technology</w:t>
      </w:r>
      <w:r w:rsidR="006816C4">
        <w:t xml:space="preserve"> </w:t>
      </w:r>
      <w:r w:rsidR="005527D8">
        <w:t xml:space="preserve">and the 4G Central/South Region </w:t>
      </w:r>
      <w:r w:rsidR="00254151">
        <w:t xml:space="preserve">within the definitions </w:t>
      </w:r>
      <w:r w:rsidR="00975458">
        <w:t>in</w:t>
      </w:r>
      <w:r w:rsidR="00254151">
        <w:t xml:space="preserve"> Section A (</w:t>
      </w:r>
      <w:r w:rsidR="00E469CE">
        <w:t>Definitions and Interpretations</w:t>
      </w:r>
      <w:r w:rsidR="005D430B">
        <w:t>)</w:t>
      </w:r>
      <w:r w:rsidR="006760D5">
        <w:t xml:space="preserve"> </w:t>
      </w:r>
      <w:r w:rsidR="00E45B55">
        <w:t>and in SEC Section H</w:t>
      </w:r>
      <w:r w:rsidR="0084447B">
        <w:t>14</w:t>
      </w:r>
      <w:r w:rsidR="00E45B55">
        <w:t xml:space="preserve"> (</w:t>
      </w:r>
      <w:r w:rsidR="00FB76CD">
        <w:t>Testing Services</w:t>
      </w:r>
      <w:r w:rsidR="0084447B">
        <w:t>)</w:t>
      </w:r>
      <w:r w:rsidR="00FB76CD">
        <w:t>,</w:t>
      </w:r>
      <w:r w:rsidR="0084447B">
        <w:t xml:space="preserve"> </w:t>
      </w:r>
      <w:r w:rsidR="00D71E65">
        <w:t xml:space="preserve">commencing </w:t>
      </w:r>
      <w:r w:rsidR="00711195">
        <w:t>from 5 August 2024</w:t>
      </w:r>
      <w:r w:rsidR="007A2A62">
        <w:t>:</w:t>
      </w:r>
      <w:bookmarkEnd w:id="108"/>
    </w:p>
    <w:p w14:paraId="3948503C" w14:textId="7BA94B66" w:rsidR="007A2A62" w:rsidRDefault="006760D5" w:rsidP="007A2A62">
      <w:pPr>
        <w:pStyle w:val="Heading3"/>
      </w:pPr>
      <w:bookmarkStart w:id="109" w:name="_Toc219897127"/>
      <w:r>
        <w:t xml:space="preserve">the DCC shall </w:t>
      </w:r>
      <w:r w:rsidR="00444F43">
        <w:t>be requ</w:t>
      </w:r>
      <w:r w:rsidR="00444F43" w:rsidRPr="00FA4DAF">
        <w:t xml:space="preserve">ired to </w:t>
      </w:r>
      <w:r w:rsidRPr="00FA4DAF">
        <w:t xml:space="preserve">provide </w:t>
      </w:r>
      <w:r w:rsidR="00AA3A6B" w:rsidRPr="00FA4DAF">
        <w:t>Device and User System Tests</w:t>
      </w:r>
      <w:r w:rsidR="00784866" w:rsidRPr="00FA4DAF">
        <w:t xml:space="preserve"> in accordance </w:t>
      </w:r>
      <w:r w:rsidR="00DE5AB5" w:rsidRPr="00FA4DAF">
        <w:t xml:space="preserve">with Section </w:t>
      </w:r>
      <w:r w:rsidR="004570A7" w:rsidRPr="00FA4DAF">
        <w:t>H</w:t>
      </w:r>
      <w:r w:rsidR="00DE5AB5" w:rsidRPr="00FA4DAF">
        <w:t xml:space="preserve">14 </w:t>
      </w:r>
      <w:r w:rsidR="004E5E1A" w:rsidRPr="00FA4DAF">
        <w:t>to cover</w:t>
      </w:r>
      <w:r w:rsidR="009501E7" w:rsidRPr="00FA4DAF">
        <w:t xml:space="preserve"> all Communication</w:t>
      </w:r>
      <w:r w:rsidR="004D6817" w:rsidRPr="00FA4DAF">
        <w:t>s</w:t>
      </w:r>
      <w:r w:rsidR="009501E7">
        <w:t xml:space="preserve"> Technologies</w:t>
      </w:r>
      <w:r w:rsidR="002E3DAF">
        <w:t xml:space="preserve"> utilised by the DCC in </w:t>
      </w:r>
      <w:r w:rsidR="00396DD2">
        <w:t xml:space="preserve">the relevant </w:t>
      </w:r>
      <w:r w:rsidR="002E3DAF">
        <w:t>Geographical Region</w:t>
      </w:r>
      <w:r w:rsidR="008E3826">
        <w:t>,</w:t>
      </w:r>
      <w:r w:rsidR="009501E7">
        <w:t xml:space="preserve"> </w:t>
      </w:r>
      <w:r w:rsidR="00F33ECC">
        <w:t>as though references</w:t>
      </w:r>
      <w:r w:rsidR="00625118">
        <w:t xml:space="preserve"> to Test Communications Hubs include</w:t>
      </w:r>
      <w:r w:rsidR="00286758">
        <w:t xml:space="preserve"> 4G Test Communications Hubs</w:t>
      </w:r>
      <w:r w:rsidR="00640913">
        <w:t xml:space="preserve"> and as though references to DCC Systems include</w:t>
      </w:r>
      <w:r w:rsidR="00807FA0">
        <w:t xml:space="preserve"> the </w:t>
      </w:r>
      <w:r w:rsidR="00080EE2">
        <w:t xml:space="preserve">DCC Systems as modified to enable the provision of Services that utilise the </w:t>
      </w:r>
      <w:r w:rsidR="00807FA0">
        <w:t>4G SM WAN</w:t>
      </w:r>
      <w:r w:rsidR="00080EE2">
        <w:t xml:space="preserve"> and 4G Test Communications Hubs</w:t>
      </w:r>
      <w:r w:rsidR="007A2A62">
        <w:t>; and</w:t>
      </w:r>
      <w:bookmarkEnd w:id="109"/>
    </w:p>
    <w:p w14:paraId="4CEF1758" w14:textId="268206B1" w:rsidR="002D73D2" w:rsidRDefault="007A2A62" w:rsidP="002D73D2">
      <w:pPr>
        <w:pStyle w:val="Heading3"/>
      </w:pPr>
      <w:bookmarkStart w:id="110" w:name="_Toc219897128"/>
      <w:r>
        <w:t>w</w:t>
      </w:r>
      <w:r w:rsidR="000F6E8C">
        <w:t>here the Testing Services</w:t>
      </w:r>
      <w:r w:rsidR="000A2680">
        <w:t xml:space="preserve"> referenced in Section H14.31 </w:t>
      </w:r>
      <w:r w:rsidR="006E4DEF">
        <w:t>are required to include</w:t>
      </w:r>
      <w:r w:rsidR="000A2680">
        <w:t xml:space="preserve"> the provision of a connection to a simulation of the SMETS2+ SM WAN, </w:t>
      </w:r>
      <w:r w:rsidR="003E15C9">
        <w:t xml:space="preserve">that simulation </w:t>
      </w:r>
      <w:r w:rsidR="0DFE3016">
        <w:t>shall</w:t>
      </w:r>
      <w:r w:rsidR="003E15C9">
        <w:t xml:space="preserve"> </w:t>
      </w:r>
      <w:r w:rsidR="003E15C9" w:rsidRPr="00FA4DAF">
        <w:t>cover all Communication</w:t>
      </w:r>
      <w:r w:rsidR="004D6817" w:rsidRPr="00FA4DAF">
        <w:t>s</w:t>
      </w:r>
      <w:r w:rsidR="003E15C9">
        <w:t xml:space="preserve"> Technologies utilised by the DCC in </w:t>
      </w:r>
      <w:r w:rsidR="00396DD2">
        <w:t xml:space="preserve">the relevant </w:t>
      </w:r>
      <w:r w:rsidR="003E15C9">
        <w:t>Geographical Region.</w:t>
      </w:r>
      <w:bookmarkEnd w:id="110"/>
    </w:p>
    <w:p w14:paraId="40E28BDE" w14:textId="77777777" w:rsidR="002D73D2" w:rsidRPr="00EC0AEF" w:rsidRDefault="002D73D2" w:rsidP="00EC0AEF">
      <w:pPr>
        <w:pStyle w:val="Heading1"/>
        <w:rPr>
          <w:rFonts w:ascii="Times New Roman" w:hAnsi="Times New Roman" w:cs="Times New Roman"/>
          <w:szCs w:val="24"/>
        </w:rPr>
      </w:pPr>
      <w:bookmarkStart w:id="111" w:name="_Toc219897129"/>
      <w:bookmarkStart w:id="112" w:name="_Toc219900428"/>
      <w:r w:rsidRPr="00EC0AEF">
        <w:rPr>
          <w:rFonts w:ascii="Times New Roman" w:hAnsi="Times New Roman" w:cs="Times New Roman"/>
          <w:szCs w:val="24"/>
        </w:rPr>
        <w:t>Trust Centre Swap Out Visit</w:t>
      </w:r>
      <w:bookmarkEnd w:id="111"/>
      <w:bookmarkEnd w:id="112"/>
    </w:p>
    <w:p w14:paraId="4E1CA428" w14:textId="77777777" w:rsidR="002D73D2" w:rsidRDefault="002D73D2" w:rsidP="002D73D2">
      <w:pPr>
        <w:pStyle w:val="Heading2"/>
      </w:pPr>
      <w:bookmarkStart w:id="113" w:name="_Toc219897130"/>
      <w:r>
        <w:t>Each Large Supplier Party shall:</w:t>
      </w:r>
      <w:bookmarkEnd w:id="113"/>
    </w:p>
    <w:p w14:paraId="3BD26A93" w14:textId="77777777" w:rsidR="002D73D2" w:rsidRDefault="002D73D2" w:rsidP="00EC0AEF">
      <w:pPr>
        <w:pStyle w:val="Heading3"/>
      </w:pPr>
      <w:bookmarkStart w:id="114" w:name="_Toc219897131"/>
      <w:r>
        <w:t xml:space="preserve">take all reasonable steps to undertake, in the Relevant Period, a minimum of 40 TCSO Visits which satisfy the requirements of Clause </w:t>
      </w:r>
      <w:proofErr w:type="gramStart"/>
      <w:r>
        <w:t>10.2;</w:t>
      </w:r>
      <w:bookmarkEnd w:id="114"/>
      <w:proofErr w:type="gramEnd"/>
    </w:p>
    <w:p w14:paraId="124F4D4A" w14:textId="77777777" w:rsidR="002D73D2" w:rsidRDefault="002D73D2" w:rsidP="00EC0AEF">
      <w:pPr>
        <w:pStyle w:val="Heading3"/>
      </w:pPr>
      <w:bookmarkStart w:id="115" w:name="_Toc219897132"/>
      <w:r>
        <w:t>ensure that where a SMETS2+ Communications Hub installed at the premises is replaced with another SMETS2+ Communications Hub, the replacement is carried out in accordance with the “Trust Centre Swap Out (TCSO) Orchestration Guidance Document” published on the Website; and</w:t>
      </w:r>
      <w:bookmarkEnd w:id="115"/>
    </w:p>
    <w:p w14:paraId="0754D917" w14:textId="77777777" w:rsidR="002D73D2" w:rsidRDefault="002D73D2" w:rsidP="00EC0AEF">
      <w:pPr>
        <w:pStyle w:val="Heading3"/>
      </w:pPr>
      <w:bookmarkStart w:id="116" w:name="_Toc219897133"/>
      <w:r>
        <w:t>provide a report to the Secretary of State on the number of TCSO Visits undertaken by it in the Relevant Period which report includes, as a minimum, the information required by Clause 10.3.</w:t>
      </w:r>
      <w:bookmarkEnd w:id="116"/>
    </w:p>
    <w:p w14:paraId="5D190C96" w14:textId="0D962819" w:rsidR="002D73D2" w:rsidRDefault="002D73D2" w:rsidP="002D73D2">
      <w:pPr>
        <w:pStyle w:val="Heading2"/>
      </w:pPr>
      <w:bookmarkStart w:id="117" w:name="_Toc219897134"/>
      <w:r>
        <w:t>The requirements of this Clause 10.2 are that:</w:t>
      </w:r>
      <w:bookmarkEnd w:id="117"/>
    </w:p>
    <w:p w14:paraId="2504D067" w14:textId="77777777" w:rsidR="002D73D2" w:rsidRDefault="002D73D2" w:rsidP="00EC0AEF">
      <w:pPr>
        <w:pStyle w:val="Heading3"/>
      </w:pPr>
      <w:bookmarkStart w:id="118" w:name="_Toc219897135"/>
      <w:r>
        <w:lastRenderedPageBreak/>
        <w:t xml:space="preserve">the Communications Hub Function, forming part of the SMETS2+ Communications Hub to be replaced, forms part of both a gas Smart Metering System and an electricity Smart Metering System which are </w:t>
      </w:r>
      <w:proofErr w:type="gramStart"/>
      <w:r>
        <w:t>Enrolled;</w:t>
      </w:r>
      <w:bookmarkEnd w:id="118"/>
      <w:proofErr w:type="gramEnd"/>
    </w:p>
    <w:p w14:paraId="44BBC733" w14:textId="77777777" w:rsidR="002D73D2" w:rsidRDefault="002D73D2" w:rsidP="00EC0AEF">
      <w:pPr>
        <w:pStyle w:val="Heading3"/>
      </w:pPr>
      <w:bookmarkStart w:id="119" w:name="_Toc219897136"/>
      <w:r>
        <w:t>the Large Supplier Party is both the Gas Supplier and the Import Supplier for the relevant premises; and</w:t>
      </w:r>
      <w:bookmarkEnd w:id="119"/>
    </w:p>
    <w:p w14:paraId="72D5C9D0" w14:textId="77777777" w:rsidR="002D73D2" w:rsidRDefault="002D73D2" w:rsidP="00EC0AEF">
      <w:pPr>
        <w:pStyle w:val="Heading3"/>
      </w:pPr>
      <w:bookmarkStart w:id="120" w:name="_Toc219897137"/>
      <w:r>
        <w:t>both the gas Smart Metering System and the electricity Smart Metering System installed at the premises is one in respect of which the Large Supplier Party does not expect to have to install any new ESME, GSME, PPMID or IHD, or Commission any Device (other than the replacement Communications Hub Function and Gas Proxy Function) as part of the TCSO Visit.</w:t>
      </w:r>
      <w:bookmarkEnd w:id="120"/>
    </w:p>
    <w:p w14:paraId="7E228905" w14:textId="41A2669F" w:rsidR="002D73D2" w:rsidRDefault="002D73D2" w:rsidP="00EC0AEF">
      <w:pPr>
        <w:pStyle w:val="Heading2"/>
      </w:pPr>
      <w:bookmarkStart w:id="121" w:name="_Toc219897138"/>
      <w:r>
        <w:t>The requirements of this Clause</w:t>
      </w:r>
      <w:r w:rsidR="00EC0AEF">
        <w:t xml:space="preserve"> 10.3 </w:t>
      </w:r>
      <w:r>
        <w:t>are that the report to the Secretary of State includes, as a minimum, the following information in respect of each TCSO Visit undertaken in the Relevant Period:</w:t>
      </w:r>
      <w:bookmarkEnd w:id="121"/>
    </w:p>
    <w:p w14:paraId="0DEF7BA8" w14:textId="77777777" w:rsidR="002D73D2" w:rsidRDefault="002D73D2" w:rsidP="00EC0AEF">
      <w:pPr>
        <w:pStyle w:val="Heading3"/>
      </w:pPr>
      <w:bookmarkStart w:id="122" w:name="_Toc219897139"/>
      <w:r>
        <w:t xml:space="preserve">the duration of each TCSO </w:t>
      </w:r>
      <w:proofErr w:type="gramStart"/>
      <w:r>
        <w:t>Visit;</w:t>
      </w:r>
      <w:bookmarkEnd w:id="122"/>
      <w:proofErr w:type="gramEnd"/>
    </w:p>
    <w:p w14:paraId="376792CE" w14:textId="77777777" w:rsidR="002D73D2" w:rsidRDefault="002D73D2" w:rsidP="00EC0AEF">
      <w:pPr>
        <w:pStyle w:val="Heading3"/>
      </w:pPr>
      <w:bookmarkStart w:id="123" w:name="_Toc219897140"/>
      <w:r>
        <w:t>the methodology used to calculate and determine the duration of each TCSO Visit (as provided under Clause 10.3(a)</w:t>
      </w:r>
      <w:proofErr w:type="gramStart"/>
      <w:r>
        <w:t>);</w:t>
      </w:r>
      <w:bookmarkEnd w:id="123"/>
      <w:proofErr w:type="gramEnd"/>
    </w:p>
    <w:p w14:paraId="1B77BA36" w14:textId="77777777" w:rsidR="002D73D2" w:rsidRDefault="002D73D2" w:rsidP="00EC0AEF">
      <w:pPr>
        <w:pStyle w:val="Heading3"/>
      </w:pPr>
      <w:bookmarkStart w:id="124" w:name="_Toc219897141"/>
      <w:r>
        <w:t xml:space="preserve">whether or not the SMETS2+ Communications Hub installed at the premises was replaced with another SMETS2+ Communications Hub during the TCSO Visit and if not the reasons for being unable to make the </w:t>
      </w:r>
      <w:proofErr w:type="gramStart"/>
      <w:r>
        <w:t>replacement;</w:t>
      </w:r>
      <w:bookmarkEnd w:id="124"/>
      <w:proofErr w:type="gramEnd"/>
    </w:p>
    <w:p w14:paraId="5B2F6722" w14:textId="77777777" w:rsidR="002D73D2" w:rsidRDefault="002D73D2" w:rsidP="00EC0AEF">
      <w:pPr>
        <w:pStyle w:val="Heading3"/>
      </w:pPr>
      <w:bookmarkStart w:id="125" w:name="_Toc219897142"/>
      <w:r>
        <w:t>details of any issues (whether technical and/or operational) arising or encountered during the TCSO Visit, of the actions taken to address such issues (including any interaction with DCC and device manufacturers) and of the efficacy of the actions taken.</w:t>
      </w:r>
      <w:bookmarkEnd w:id="125"/>
    </w:p>
    <w:p w14:paraId="000BC778" w14:textId="44946210" w:rsidR="002D73D2" w:rsidRPr="002D73D2" w:rsidRDefault="002D73D2" w:rsidP="00EC0AEF">
      <w:pPr>
        <w:pStyle w:val="Heading3"/>
      </w:pPr>
      <w:bookmarkStart w:id="126" w:name="_Toc219897143"/>
      <w:r>
        <w:t>Where a Large Supplier Party undertakes a TCSO Visit prior to the date on which Clause 10.1 takes effect, that TCSO Visit may be treated as a TCSO Visit undertaken in the Relevant Period provided that that the information necessary to meet the requirements of Clause 10.3 is recorded and available in respect of that TCSO Visit.</w:t>
      </w:r>
      <w:bookmarkEnd w:id="126"/>
    </w:p>
    <w:p w14:paraId="71B78AB1" w14:textId="77777777" w:rsidR="00BD5168" w:rsidRPr="003D3547" w:rsidRDefault="00BD5168" w:rsidP="00BD5168">
      <w:pPr>
        <w:pStyle w:val="Heading1"/>
      </w:pPr>
      <w:bookmarkStart w:id="127" w:name="_Toc219897144"/>
      <w:bookmarkStart w:id="128" w:name="_Toc219900429"/>
      <w:r>
        <w:lastRenderedPageBreak/>
        <w:t>Transition to the Future Service Management Platform</w:t>
      </w:r>
      <w:bookmarkEnd w:id="127"/>
      <w:bookmarkEnd w:id="128"/>
      <w:r>
        <w:t xml:space="preserve"> </w:t>
      </w:r>
    </w:p>
    <w:p w14:paraId="2950A86E" w14:textId="77777777" w:rsidR="00BD5168" w:rsidRPr="00BF511B" w:rsidRDefault="00BD5168" w:rsidP="00BD5168">
      <w:pPr>
        <w:pStyle w:val="Body2"/>
        <w:ind w:left="0" w:firstLine="720"/>
        <w:rPr>
          <w:b/>
          <w:bCs/>
        </w:rPr>
      </w:pPr>
      <w:r>
        <w:rPr>
          <w:b/>
          <w:bCs/>
        </w:rPr>
        <w:t>Provision of training on the Future Service Management Platform</w:t>
      </w:r>
    </w:p>
    <w:p w14:paraId="165A4ED1" w14:textId="77777777" w:rsidR="00BD5168" w:rsidRDefault="00BD5168" w:rsidP="00BD5168">
      <w:pPr>
        <w:pStyle w:val="Heading2"/>
      </w:pPr>
      <w:bookmarkStart w:id="129" w:name="_Toc219897145"/>
      <w:r>
        <w:t>No later than six weeks prior to the date of the “</w:t>
      </w:r>
      <w:r w:rsidRPr="00BD5168">
        <w:t>DSP FSM – UIT-B commences</w:t>
      </w:r>
      <w:r>
        <w:t>” JIP Milestone, the DCC shall notify to Users dates and times on which it will hold training on the functionality of the FSM Platform and at least one DCC email address for the purposes of requesting attendance at this training. This training will include, as a minimum:</w:t>
      </w:r>
      <w:bookmarkEnd w:id="129"/>
    </w:p>
    <w:p w14:paraId="218E6D03" w14:textId="77777777" w:rsidR="00BD5168" w:rsidRPr="00EB3F7C" w:rsidRDefault="00BD5168" w:rsidP="0087541E">
      <w:pPr>
        <w:pStyle w:val="Heading3"/>
        <w:numPr>
          <w:ilvl w:val="2"/>
          <w:numId w:val="43"/>
        </w:numPr>
        <w:tabs>
          <w:tab w:val="clear" w:pos="1418"/>
          <w:tab w:val="num" w:pos="360"/>
        </w:tabs>
        <w:ind w:left="1224" w:hanging="504"/>
      </w:pPr>
      <w:bookmarkStart w:id="130" w:name="_Toc219897146"/>
      <w:r>
        <w:t xml:space="preserve">navigation of the FSM </w:t>
      </w:r>
      <w:proofErr w:type="gramStart"/>
      <w:r>
        <w:t>Platform;</w:t>
      </w:r>
      <w:bookmarkEnd w:id="130"/>
      <w:proofErr w:type="gramEnd"/>
    </w:p>
    <w:p w14:paraId="6FF8D1B2" w14:textId="0559710C" w:rsidR="00BD5168" w:rsidRDefault="00BD5168" w:rsidP="0087541E">
      <w:pPr>
        <w:pStyle w:val="Heading3"/>
        <w:numPr>
          <w:ilvl w:val="2"/>
          <w:numId w:val="43"/>
        </w:numPr>
        <w:tabs>
          <w:tab w:val="clear" w:pos="1418"/>
          <w:tab w:val="num" w:pos="360"/>
        </w:tabs>
        <w:ind w:left="1224" w:hanging="504"/>
      </w:pPr>
      <w:bookmarkStart w:id="131" w:name="_Toc219897147"/>
      <w:r>
        <w:t xml:space="preserve">initiation and review of an </w:t>
      </w:r>
      <w:proofErr w:type="gramStart"/>
      <w:r>
        <w:t>Incident;</w:t>
      </w:r>
      <w:bookmarkEnd w:id="131"/>
      <w:proofErr w:type="gramEnd"/>
    </w:p>
    <w:p w14:paraId="7290D2BE" w14:textId="77777777" w:rsidR="00E87CB7" w:rsidRDefault="00BD5168" w:rsidP="0087541E">
      <w:pPr>
        <w:pStyle w:val="Heading3"/>
        <w:numPr>
          <w:ilvl w:val="2"/>
          <w:numId w:val="43"/>
        </w:numPr>
        <w:tabs>
          <w:tab w:val="clear" w:pos="1418"/>
          <w:tab w:val="num" w:pos="360"/>
        </w:tabs>
        <w:ind w:left="1224" w:hanging="504"/>
      </w:pPr>
      <w:bookmarkStart w:id="132" w:name="_Toc219897148"/>
      <w:r>
        <w:t>initiation and review of a Service Management Service Request</w:t>
      </w:r>
      <w:r w:rsidR="00E87CB7">
        <w:t>; and</w:t>
      </w:r>
      <w:bookmarkEnd w:id="132"/>
    </w:p>
    <w:p w14:paraId="3791900D" w14:textId="7A365805" w:rsidR="00BD5168" w:rsidRDefault="00CC7EC5" w:rsidP="0087541E">
      <w:pPr>
        <w:pStyle w:val="Heading3"/>
        <w:numPr>
          <w:ilvl w:val="2"/>
          <w:numId w:val="43"/>
        </w:numPr>
        <w:tabs>
          <w:tab w:val="clear" w:pos="1418"/>
          <w:tab w:val="num" w:pos="360"/>
        </w:tabs>
        <w:ind w:left="1224" w:hanging="504"/>
      </w:pPr>
      <w:bookmarkStart w:id="133" w:name="_Toc219897149"/>
      <w:r w:rsidRPr="00CC7EC5">
        <w:t>submission and amendment of a 4G Communications Hub order and a Communications Hub return request</w:t>
      </w:r>
      <w:r w:rsidR="00BD5168">
        <w:t>.</w:t>
      </w:r>
      <w:bookmarkEnd w:id="133"/>
    </w:p>
    <w:p w14:paraId="66501C43" w14:textId="77777777" w:rsidR="00BD5168" w:rsidRPr="00F25162" w:rsidRDefault="00BD5168" w:rsidP="00BD5168">
      <w:pPr>
        <w:pStyle w:val="Heading2"/>
      </w:pPr>
      <w:bookmarkStart w:id="134" w:name="_Toc219897150"/>
      <w:r>
        <w:t>Each Party may attend any training notified in accordance with Clause 11.1 by notifying the DCC of the date and time that it would like to attend using the contact details provided by the DCC. The DCC shall confirm the Party’s attendance within one Working Day of receipt of the Party’s request.</w:t>
      </w:r>
      <w:bookmarkEnd w:id="134"/>
    </w:p>
    <w:p w14:paraId="2A591281" w14:textId="77777777" w:rsidR="00BD5168" w:rsidRPr="009244B6" w:rsidRDefault="00BD5168" w:rsidP="00BD5168">
      <w:pPr>
        <w:pStyle w:val="Heading2"/>
        <w:numPr>
          <w:ilvl w:val="0"/>
          <w:numId w:val="0"/>
        </w:numPr>
        <w:ind w:left="709"/>
        <w:rPr>
          <w:b/>
          <w:bCs w:val="0"/>
        </w:rPr>
      </w:pPr>
      <w:bookmarkStart w:id="135" w:name="_Toc219897151"/>
      <w:r>
        <w:rPr>
          <w:b/>
          <w:bCs w:val="0"/>
        </w:rPr>
        <w:t>Requirement to prepare policy documents</w:t>
      </w:r>
      <w:bookmarkEnd w:id="135"/>
    </w:p>
    <w:p w14:paraId="3627A260" w14:textId="77777777" w:rsidR="00BD5168" w:rsidRDefault="00BD5168" w:rsidP="00BD5168">
      <w:pPr>
        <w:pStyle w:val="Heading2"/>
      </w:pPr>
      <w:bookmarkStart w:id="136" w:name="_Toc219897152"/>
      <w:r>
        <w:t>Prior to undertaking the activities in Clauses 11.4, 11.5, 11.8 and 11.9, the DCC shall prepare and consult upon with SEC Parties, and submit to the Panel for approval:</w:t>
      </w:r>
      <w:bookmarkEnd w:id="136"/>
    </w:p>
    <w:p w14:paraId="298D099A" w14:textId="77777777" w:rsidR="00BD5168" w:rsidRDefault="00BD5168" w:rsidP="0087541E">
      <w:pPr>
        <w:pStyle w:val="Heading3"/>
        <w:numPr>
          <w:ilvl w:val="2"/>
          <w:numId w:val="46"/>
        </w:numPr>
        <w:tabs>
          <w:tab w:val="clear" w:pos="1418"/>
          <w:tab w:val="num" w:pos="360"/>
        </w:tabs>
        <w:ind w:left="1224" w:hanging="504"/>
      </w:pPr>
      <w:bookmarkStart w:id="137" w:name="_Toc219897153"/>
      <w:r>
        <w:t xml:space="preserve">the </w:t>
      </w:r>
      <w:r>
        <w:rPr>
          <w:b/>
          <w:bCs w:val="0"/>
        </w:rPr>
        <w:t>SSI</w:t>
      </w:r>
      <w:r w:rsidRPr="006E74EB">
        <w:rPr>
          <w:b/>
          <w:bCs w:val="0"/>
        </w:rPr>
        <w:t xml:space="preserve"> Functions and Roles Policy</w:t>
      </w:r>
      <w:r>
        <w:t xml:space="preserve">, which will set out in detail the structure and definition of Job Type Roles within the Self-Service </w:t>
      </w:r>
      <w:proofErr w:type="gramStart"/>
      <w:r>
        <w:t>Interface;</w:t>
      </w:r>
      <w:bookmarkEnd w:id="137"/>
      <w:proofErr w:type="gramEnd"/>
      <w:r>
        <w:t xml:space="preserve"> </w:t>
      </w:r>
    </w:p>
    <w:p w14:paraId="22B632C9" w14:textId="77777777" w:rsidR="00BD5168" w:rsidRDefault="00BD5168" w:rsidP="0087541E">
      <w:pPr>
        <w:pStyle w:val="Heading3"/>
        <w:numPr>
          <w:ilvl w:val="2"/>
          <w:numId w:val="46"/>
        </w:numPr>
        <w:tabs>
          <w:tab w:val="clear" w:pos="1418"/>
          <w:tab w:val="num" w:pos="360"/>
        </w:tabs>
        <w:ind w:left="1224" w:hanging="504"/>
      </w:pPr>
      <w:bookmarkStart w:id="138" w:name="_Toc219897154"/>
      <w:r>
        <w:t xml:space="preserve">the </w:t>
      </w:r>
      <w:r w:rsidRPr="006E74EB">
        <w:rPr>
          <w:b/>
          <w:bCs w:val="0"/>
        </w:rPr>
        <w:t>DCC Internet Access Policy</w:t>
      </w:r>
      <w:r>
        <w:t xml:space="preserve">, which will </w:t>
      </w:r>
      <w:r w:rsidRPr="00323D91">
        <w:t>set out the procedure to be followed before an organisation will be able to utilise Internet access, including technical details and rules that the User must continue to comply with</w:t>
      </w:r>
      <w:r>
        <w:t>; and</w:t>
      </w:r>
      <w:bookmarkEnd w:id="138"/>
    </w:p>
    <w:p w14:paraId="42C71AB1" w14:textId="77777777" w:rsidR="00BD5168" w:rsidRPr="002C6876" w:rsidRDefault="00BD5168" w:rsidP="0087541E">
      <w:pPr>
        <w:pStyle w:val="Heading3"/>
        <w:numPr>
          <w:ilvl w:val="2"/>
          <w:numId w:val="46"/>
        </w:numPr>
        <w:tabs>
          <w:tab w:val="clear" w:pos="1418"/>
          <w:tab w:val="num" w:pos="360"/>
        </w:tabs>
        <w:ind w:left="1224" w:hanging="504"/>
      </w:pPr>
      <w:bookmarkStart w:id="139" w:name="_Toc219897155"/>
      <w:r>
        <w:t>an updated version of the SSI Baseline Requirements Document, which reflects the solution as provided by the FSM Platform.</w:t>
      </w:r>
      <w:bookmarkEnd w:id="139"/>
    </w:p>
    <w:p w14:paraId="6B57D1B0" w14:textId="77777777" w:rsidR="00BD5168" w:rsidRPr="006B5120" w:rsidRDefault="00BD5168" w:rsidP="00BD5168">
      <w:pPr>
        <w:pStyle w:val="Body2"/>
        <w:ind w:left="0" w:firstLine="720"/>
        <w:rPr>
          <w:b/>
          <w:bCs/>
        </w:rPr>
      </w:pPr>
      <w:r>
        <w:rPr>
          <w:b/>
          <w:bCs/>
        </w:rPr>
        <w:t>Migration</w:t>
      </w:r>
      <w:r w:rsidRPr="006B5120">
        <w:rPr>
          <w:b/>
          <w:bCs/>
        </w:rPr>
        <w:t xml:space="preserve"> of </w:t>
      </w:r>
      <w:proofErr w:type="gramStart"/>
      <w:r w:rsidRPr="006B5120">
        <w:rPr>
          <w:b/>
          <w:bCs/>
        </w:rPr>
        <w:t>Self Service</w:t>
      </w:r>
      <w:proofErr w:type="gramEnd"/>
      <w:r w:rsidRPr="006B5120">
        <w:rPr>
          <w:b/>
          <w:bCs/>
        </w:rPr>
        <w:t xml:space="preserve"> Interface user </w:t>
      </w:r>
      <w:r>
        <w:rPr>
          <w:b/>
          <w:bCs/>
        </w:rPr>
        <w:t>data</w:t>
      </w:r>
      <w:r w:rsidRPr="006B5120">
        <w:rPr>
          <w:b/>
          <w:bCs/>
        </w:rPr>
        <w:t xml:space="preserve"> </w:t>
      </w:r>
    </w:p>
    <w:p w14:paraId="23144187" w14:textId="77777777" w:rsidR="00BD5168" w:rsidRPr="009429BA" w:rsidRDefault="00BD5168" w:rsidP="00BD5168">
      <w:pPr>
        <w:pStyle w:val="Heading2"/>
      </w:pPr>
      <w:bookmarkStart w:id="140" w:name="_Toc219897156"/>
      <w:r>
        <w:lastRenderedPageBreak/>
        <w:t>No later than 30 Working Days prior to the date of the “</w:t>
      </w:r>
      <w:r w:rsidRPr="007F0BF8">
        <w:t>DSP FSM – Go Live</w:t>
      </w:r>
      <w:r>
        <w:t>” JIP Milestone, the DCC shall arrange for the FSM Migration Environment to be populated with all user accounts in the Legacy DSMS which have any current or historical activity records, and for each such account to be associated with the same User IDs as in the Legacy DSMS. All such accounts shall be established on the FSM Platform as SSI Accounts with an initial status of ‘retired’. The DCC shall notify all Users as soon as reasonably practicable following this being completed.</w:t>
      </w:r>
      <w:bookmarkEnd w:id="140"/>
    </w:p>
    <w:p w14:paraId="5B22A3CB" w14:textId="79AFB56C" w:rsidR="00BD5168" w:rsidRDefault="00BD5168" w:rsidP="00BD5168">
      <w:pPr>
        <w:pStyle w:val="Heading2"/>
      </w:pPr>
      <w:bookmarkStart w:id="141" w:name="_Toc219897157"/>
      <w:r w:rsidRPr="00710ED3">
        <w:t>On the day of the “</w:t>
      </w:r>
      <w:r w:rsidRPr="007F0BF8">
        <w:t>DSP FSM – Go Live</w:t>
      </w:r>
      <w:r w:rsidRPr="00710ED3">
        <w:t>” JIP Milestone, the DCC shall ensure the FSM Platform has been updated with</w:t>
      </w:r>
      <w:r>
        <w:t>:</w:t>
      </w:r>
      <w:bookmarkEnd w:id="141"/>
    </w:p>
    <w:p w14:paraId="5AF29516" w14:textId="77777777" w:rsidR="00BD5168" w:rsidRDefault="00BD5168" w:rsidP="0087541E">
      <w:pPr>
        <w:pStyle w:val="Heading3"/>
        <w:numPr>
          <w:ilvl w:val="2"/>
          <w:numId w:val="52"/>
        </w:numPr>
        <w:tabs>
          <w:tab w:val="clear" w:pos="1418"/>
          <w:tab w:val="num" w:pos="360"/>
        </w:tabs>
        <w:ind w:left="1224" w:hanging="504"/>
      </w:pPr>
      <w:bookmarkStart w:id="142" w:name="_Toc219897158"/>
      <w:r w:rsidRPr="00710ED3">
        <w:t>all</w:t>
      </w:r>
      <w:r>
        <w:t xml:space="preserve"> SSI Accounts</w:t>
      </w:r>
      <w:r w:rsidRPr="00710ED3">
        <w:t xml:space="preserve"> </w:t>
      </w:r>
      <w:r>
        <w:t>with</w:t>
      </w:r>
      <w:r w:rsidRPr="00D44981">
        <w:t xml:space="preserve">in the FSM Migration </w:t>
      </w:r>
      <w:proofErr w:type="gramStart"/>
      <w:r w:rsidRPr="00D44981">
        <w:t>Environment</w:t>
      </w:r>
      <w:r>
        <w:t>;</w:t>
      </w:r>
      <w:bookmarkEnd w:id="142"/>
      <w:proofErr w:type="gramEnd"/>
    </w:p>
    <w:p w14:paraId="274E4DE0" w14:textId="63C5BE55" w:rsidR="00BD5168" w:rsidRDefault="00BD5168" w:rsidP="0087541E">
      <w:pPr>
        <w:pStyle w:val="Heading3"/>
        <w:numPr>
          <w:ilvl w:val="2"/>
          <w:numId w:val="52"/>
        </w:numPr>
        <w:tabs>
          <w:tab w:val="clear" w:pos="1418"/>
          <w:tab w:val="num" w:pos="360"/>
        </w:tabs>
        <w:ind w:left="1224" w:hanging="504"/>
      </w:pPr>
      <w:bookmarkStart w:id="143" w:name="_Toc219897159"/>
      <w:r w:rsidRPr="00710ED3">
        <w:t>data from the Legacy DSMS</w:t>
      </w:r>
      <w:r>
        <w:t>, including</w:t>
      </w:r>
      <w:r w:rsidR="00BC3BEE">
        <w:t>:</w:t>
      </w:r>
      <w:bookmarkEnd w:id="143"/>
    </w:p>
    <w:p w14:paraId="020E5EE6" w14:textId="77777777" w:rsidR="00BD5168" w:rsidRDefault="00BD5168" w:rsidP="0087541E">
      <w:pPr>
        <w:pStyle w:val="Heading3"/>
        <w:numPr>
          <w:ilvl w:val="3"/>
          <w:numId w:val="52"/>
        </w:numPr>
        <w:tabs>
          <w:tab w:val="clear" w:pos="1985"/>
          <w:tab w:val="num" w:pos="360"/>
        </w:tabs>
        <w:ind w:left="1728" w:hanging="648"/>
      </w:pPr>
      <w:bookmarkStart w:id="144" w:name="_Toc219897160"/>
      <w:r>
        <w:t xml:space="preserve">data regarding organisations, including Users, User Roles and User </w:t>
      </w:r>
      <w:proofErr w:type="gramStart"/>
      <w:r>
        <w:t>IDs;</w:t>
      </w:r>
      <w:bookmarkEnd w:id="144"/>
      <w:proofErr w:type="gramEnd"/>
    </w:p>
    <w:p w14:paraId="7C5B4CD5" w14:textId="77777777" w:rsidR="00BD5168" w:rsidRDefault="00BD5168" w:rsidP="0087541E">
      <w:pPr>
        <w:pStyle w:val="Heading3"/>
        <w:numPr>
          <w:ilvl w:val="3"/>
          <w:numId w:val="52"/>
        </w:numPr>
        <w:tabs>
          <w:tab w:val="clear" w:pos="1985"/>
          <w:tab w:val="num" w:pos="360"/>
        </w:tabs>
        <w:ind w:left="1728" w:hanging="648"/>
      </w:pPr>
      <w:bookmarkStart w:id="145" w:name="_Toc219897161"/>
      <w:proofErr w:type="gramStart"/>
      <w:r>
        <w:t>Incidents;</w:t>
      </w:r>
      <w:bookmarkEnd w:id="145"/>
      <w:proofErr w:type="gramEnd"/>
    </w:p>
    <w:p w14:paraId="559F78D2" w14:textId="77777777" w:rsidR="00BD5168" w:rsidRDefault="00BD5168" w:rsidP="0087541E">
      <w:pPr>
        <w:pStyle w:val="Heading3"/>
        <w:numPr>
          <w:ilvl w:val="3"/>
          <w:numId w:val="52"/>
        </w:numPr>
        <w:tabs>
          <w:tab w:val="clear" w:pos="1985"/>
          <w:tab w:val="num" w:pos="360"/>
        </w:tabs>
        <w:ind w:left="1728" w:hanging="648"/>
      </w:pPr>
      <w:bookmarkStart w:id="146" w:name="_Toc219897162"/>
      <w:r>
        <w:t xml:space="preserve">Service </w:t>
      </w:r>
      <w:proofErr w:type="gramStart"/>
      <w:r>
        <w:t>Requests;</w:t>
      </w:r>
      <w:bookmarkEnd w:id="146"/>
      <w:proofErr w:type="gramEnd"/>
    </w:p>
    <w:p w14:paraId="61EB015B" w14:textId="77777777" w:rsidR="00BD5168" w:rsidRDefault="00BD5168" w:rsidP="0087541E">
      <w:pPr>
        <w:pStyle w:val="Heading3"/>
        <w:numPr>
          <w:ilvl w:val="3"/>
          <w:numId w:val="52"/>
        </w:numPr>
        <w:tabs>
          <w:tab w:val="clear" w:pos="1985"/>
          <w:tab w:val="num" w:pos="360"/>
        </w:tabs>
        <w:ind w:left="1728" w:hanging="648"/>
      </w:pPr>
      <w:bookmarkStart w:id="147" w:name="_Toc219897163"/>
      <w:r>
        <w:t>Service level histories; and</w:t>
      </w:r>
      <w:bookmarkEnd w:id="147"/>
    </w:p>
    <w:p w14:paraId="0F9FDD93" w14:textId="77777777" w:rsidR="00BD5168" w:rsidRDefault="00BD5168" w:rsidP="0087541E">
      <w:pPr>
        <w:pStyle w:val="Heading3"/>
        <w:numPr>
          <w:ilvl w:val="3"/>
          <w:numId w:val="52"/>
        </w:numPr>
        <w:tabs>
          <w:tab w:val="clear" w:pos="1985"/>
          <w:tab w:val="num" w:pos="360"/>
        </w:tabs>
        <w:ind w:left="1728" w:hanging="648"/>
      </w:pPr>
      <w:bookmarkStart w:id="148" w:name="_Toc219897164"/>
      <w:r>
        <w:t>other configuration data which is required to deliver the Service Management Service to an equivalent functionality and informational scope to the Legacy DSMS,</w:t>
      </w:r>
      <w:bookmarkEnd w:id="148"/>
      <w:r>
        <w:t xml:space="preserve"> </w:t>
      </w:r>
    </w:p>
    <w:p w14:paraId="0303F7E5" w14:textId="108EAB87" w:rsidR="00BD5168" w:rsidRDefault="00BD5168" w:rsidP="00BD5168">
      <w:pPr>
        <w:pStyle w:val="Heading3"/>
        <w:numPr>
          <w:ilvl w:val="0"/>
          <w:numId w:val="0"/>
        </w:numPr>
        <w:ind w:left="1418"/>
      </w:pPr>
      <w:bookmarkStart w:id="149" w:name="_Toc219897165"/>
      <w:r>
        <w:t>in all cases including both active or “open” records plus all historical or “closed” records; and</w:t>
      </w:r>
      <w:bookmarkEnd w:id="149"/>
    </w:p>
    <w:p w14:paraId="4A49B51A" w14:textId="1F573E57" w:rsidR="00BD5168" w:rsidRDefault="00BD5168" w:rsidP="0087541E">
      <w:pPr>
        <w:pStyle w:val="Heading3"/>
        <w:numPr>
          <w:ilvl w:val="2"/>
          <w:numId w:val="52"/>
        </w:numPr>
        <w:tabs>
          <w:tab w:val="clear" w:pos="1418"/>
          <w:tab w:val="num" w:pos="360"/>
        </w:tabs>
        <w:ind w:left="1224" w:hanging="504"/>
      </w:pPr>
      <w:bookmarkStart w:id="150" w:name="_Toc219897166"/>
      <w:r>
        <w:t>o</w:t>
      </w:r>
      <w:r w:rsidRPr="00BB77F4">
        <w:t>rders for 4G Communications Hubs received and confirmed in accordance</w:t>
      </w:r>
      <w:r>
        <w:t xml:space="preserve"> with Appendix H (</w:t>
      </w:r>
      <w:r w:rsidRPr="00375E13">
        <w:t>CH Handover Support Materials</w:t>
      </w:r>
      <w:r>
        <w:t>) Clause 10 (</w:t>
      </w:r>
      <w:r w:rsidRPr="00DE1A3F">
        <w:t>Variations to Clauses 3-9 for the purposes of 4G Central/South and additional provisions in respect of Forecasting, Ordering and Handover Service</w:t>
      </w:r>
      <w:r>
        <w:t>)</w:t>
      </w:r>
      <w:r w:rsidRPr="00710ED3">
        <w:t>.</w:t>
      </w:r>
      <w:bookmarkEnd w:id="150"/>
    </w:p>
    <w:p w14:paraId="08B58709" w14:textId="1898786E" w:rsidR="00BD5168" w:rsidRPr="00710ED3" w:rsidRDefault="00BD5168" w:rsidP="00BD5168">
      <w:pPr>
        <w:pStyle w:val="Heading2"/>
      </w:pPr>
      <w:bookmarkStart w:id="151" w:name="_Toc219897167"/>
      <w:r w:rsidRPr="00D44981">
        <w:t>Where a User has made any</w:t>
      </w:r>
      <w:r w:rsidRPr="00710ED3">
        <w:t xml:space="preserve"> changes to </w:t>
      </w:r>
      <w:r w:rsidRPr="00D44981">
        <w:t xml:space="preserve">a </w:t>
      </w:r>
      <w:r w:rsidRPr="00710ED3">
        <w:t xml:space="preserve">user account in </w:t>
      </w:r>
      <w:r w:rsidRPr="00D44981">
        <w:t xml:space="preserve">the </w:t>
      </w:r>
      <w:r w:rsidRPr="00710ED3">
        <w:t>Legacy DSMS</w:t>
      </w:r>
      <w:r w:rsidRPr="00D44981">
        <w:t xml:space="preserve"> </w:t>
      </w:r>
      <w:r>
        <w:t xml:space="preserve">pursuant </w:t>
      </w:r>
      <w:r w:rsidRPr="00D44981">
        <w:t>to Clause 11.</w:t>
      </w:r>
      <w:r>
        <w:t>4</w:t>
      </w:r>
      <w:r w:rsidRPr="00D44981">
        <w:t>, the</w:t>
      </w:r>
      <w:r>
        <w:t xml:space="preserve"> relevant user</w:t>
      </w:r>
      <w:r w:rsidRPr="00D44981">
        <w:t xml:space="preserve"> account shall be established on the FSM Platform </w:t>
      </w:r>
      <w:r>
        <w:t xml:space="preserve">as an SSI Account </w:t>
      </w:r>
      <w:r w:rsidRPr="00D44981">
        <w:t>with a</w:t>
      </w:r>
      <w:r w:rsidRPr="00710ED3">
        <w:t xml:space="preserve"> status of ‘retired’.</w:t>
      </w:r>
      <w:bookmarkEnd w:id="151"/>
    </w:p>
    <w:p w14:paraId="370A0D8E" w14:textId="77777777" w:rsidR="00BD5168" w:rsidRPr="00D44981" w:rsidRDefault="00BD5168" w:rsidP="00BD5168">
      <w:pPr>
        <w:pStyle w:val="Heading2"/>
        <w:numPr>
          <w:ilvl w:val="0"/>
          <w:numId w:val="0"/>
        </w:numPr>
        <w:ind w:left="709"/>
        <w:rPr>
          <w:b/>
          <w:bCs w:val="0"/>
        </w:rPr>
      </w:pPr>
      <w:bookmarkStart w:id="152" w:name="_Toc219897168"/>
      <w:r>
        <w:rPr>
          <w:b/>
          <w:bCs w:val="0"/>
        </w:rPr>
        <w:lastRenderedPageBreak/>
        <w:t>Eligibility to access the FSM Platform</w:t>
      </w:r>
      <w:bookmarkEnd w:id="152"/>
    </w:p>
    <w:p w14:paraId="17B6DDA6" w14:textId="77777777" w:rsidR="00BD5168" w:rsidRPr="003E3592" w:rsidRDefault="00BD5168" w:rsidP="00BD5168">
      <w:pPr>
        <w:pStyle w:val="Heading2"/>
      </w:pPr>
      <w:bookmarkStart w:id="153" w:name="_Toc219897169"/>
      <w:r>
        <w:t xml:space="preserve">Each User must complete the activities in Clauses </w:t>
      </w:r>
      <w:r w:rsidRPr="002030BA">
        <w:t>11.8 to 11.19 before it is eligible to access the FSM Platform. Each User will be required to complete the steps in Clause 11.8</w:t>
      </w:r>
      <w:r>
        <w:t xml:space="preserve"> </w:t>
      </w:r>
      <w:r w:rsidRPr="003E3592">
        <w:t xml:space="preserve">separately for the </w:t>
      </w:r>
      <w:r>
        <w:t>FSM UIT</w:t>
      </w:r>
      <w:r w:rsidRPr="003E3592">
        <w:t xml:space="preserve"> </w:t>
      </w:r>
      <w:r>
        <w:t>E</w:t>
      </w:r>
      <w:r w:rsidRPr="003E3592">
        <w:t xml:space="preserve">nvironment and for the </w:t>
      </w:r>
      <w:r>
        <w:t>FSM Platform</w:t>
      </w:r>
      <w:r w:rsidRPr="003E3592">
        <w:t xml:space="preserve"> (which </w:t>
      </w:r>
      <w:r>
        <w:t xml:space="preserve">includes </w:t>
      </w:r>
      <w:r w:rsidRPr="003E3592">
        <w:t>the FSM Migration Environment).</w:t>
      </w:r>
      <w:bookmarkEnd w:id="153"/>
    </w:p>
    <w:p w14:paraId="5D61F3B5" w14:textId="77777777" w:rsidR="00BD5168" w:rsidRPr="00D44981" w:rsidRDefault="00BD5168" w:rsidP="00BD5168">
      <w:pPr>
        <w:pStyle w:val="Heading2"/>
        <w:numPr>
          <w:ilvl w:val="0"/>
          <w:numId w:val="0"/>
        </w:numPr>
        <w:ind w:left="709"/>
        <w:rPr>
          <w:b/>
          <w:bCs w:val="0"/>
        </w:rPr>
      </w:pPr>
      <w:bookmarkStart w:id="154" w:name="_Toc219897170"/>
      <w:r w:rsidRPr="00D44981">
        <w:rPr>
          <w:b/>
          <w:bCs w:val="0"/>
        </w:rPr>
        <w:t>Activation of user accounts</w:t>
      </w:r>
      <w:bookmarkEnd w:id="154"/>
    </w:p>
    <w:p w14:paraId="11CF4EC2" w14:textId="77777777" w:rsidR="00BD5168" w:rsidRDefault="00BD5168" w:rsidP="00BD5168">
      <w:pPr>
        <w:pStyle w:val="Heading2"/>
      </w:pPr>
      <w:bookmarkStart w:id="155" w:name="_Toc219897171"/>
      <w:r w:rsidRPr="003E3592">
        <w:t>Each User s</w:t>
      </w:r>
      <w:r>
        <w:t>hall ensure that it is able to access the FSM Platform, the FSM Migration Environment and the FSM UIT Environment, either</w:t>
      </w:r>
      <w:bookmarkEnd w:id="155"/>
    </w:p>
    <w:p w14:paraId="590D2072" w14:textId="77777777" w:rsidR="00BD5168" w:rsidRDefault="00BD5168" w:rsidP="0087541E">
      <w:pPr>
        <w:pStyle w:val="Heading3"/>
        <w:numPr>
          <w:ilvl w:val="2"/>
          <w:numId w:val="48"/>
        </w:numPr>
        <w:tabs>
          <w:tab w:val="clear" w:pos="1418"/>
          <w:tab w:val="num" w:pos="360"/>
        </w:tabs>
        <w:ind w:left="1224" w:hanging="504"/>
      </w:pPr>
      <w:bookmarkStart w:id="156" w:name="_Toc219897172"/>
      <w:r>
        <w:t>over a DCC Gateway Connection; or</w:t>
      </w:r>
      <w:bookmarkEnd w:id="156"/>
      <w:r>
        <w:t xml:space="preserve"> </w:t>
      </w:r>
    </w:p>
    <w:p w14:paraId="67A2A98D" w14:textId="77777777" w:rsidR="00BD5168" w:rsidRPr="00527543" w:rsidRDefault="00BD5168" w:rsidP="0087541E">
      <w:pPr>
        <w:pStyle w:val="Heading3"/>
        <w:numPr>
          <w:ilvl w:val="2"/>
          <w:numId w:val="48"/>
        </w:numPr>
        <w:tabs>
          <w:tab w:val="clear" w:pos="1418"/>
          <w:tab w:val="num" w:pos="360"/>
        </w:tabs>
        <w:ind w:left="1224" w:hanging="504"/>
      </w:pPr>
      <w:bookmarkStart w:id="157" w:name="_Toc219897173"/>
      <w:r>
        <w:t>v</w:t>
      </w:r>
      <w:r w:rsidRPr="00BB5A95">
        <w:t xml:space="preserve">ia the </w:t>
      </w:r>
      <w:r>
        <w:t>I</w:t>
      </w:r>
      <w:r w:rsidRPr="00BB5A95">
        <w:t>nternet</w:t>
      </w:r>
      <w:r>
        <w:t xml:space="preserve">, </w:t>
      </w:r>
      <w:r w:rsidRPr="00BB5A95">
        <w:t xml:space="preserve">in which case the User shall </w:t>
      </w:r>
      <w:proofErr w:type="gramStart"/>
      <w:r>
        <w:t>at all times</w:t>
      </w:r>
      <w:proofErr w:type="gramEnd"/>
      <w:r>
        <w:t xml:space="preserve"> </w:t>
      </w:r>
      <w:r w:rsidRPr="00BB5A95">
        <w:t>comply with the DCC Internet Access Policy</w:t>
      </w:r>
      <w:r>
        <w:t>.</w:t>
      </w:r>
      <w:bookmarkEnd w:id="157"/>
    </w:p>
    <w:p w14:paraId="664F74E4" w14:textId="77777777" w:rsidR="00BD5168" w:rsidRDefault="00BD5168" w:rsidP="00BD5168">
      <w:pPr>
        <w:pStyle w:val="Heading2"/>
      </w:pPr>
      <w:bookmarkStart w:id="158" w:name="_Toc219897174"/>
      <w:r>
        <w:t>No later than 20 Working Days prior to the date of the “</w:t>
      </w:r>
      <w:r w:rsidRPr="002030BA">
        <w:t>DSP FSM – UIT-B commences</w:t>
      </w:r>
      <w:r>
        <w:t>” JIP Milestone, the DCC shall create an SSI Account on the FSM UIT Environment for each existing Administration User of the Legacy DSMS in accordance with Clause 12.</w:t>
      </w:r>
      <w:bookmarkEnd w:id="158"/>
      <w:r>
        <w:t xml:space="preserve"> </w:t>
      </w:r>
    </w:p>
    <w:p w14:paraId="11443389" w14:textId="77777777" w:rsidR="00BD5168" w:rsidRDefault="00BD5168" w:rsidP="00BD5168">
      <w:pPr>
        <w:pStyle w:val="Heading2"/>
      </w:pPr>
      <w:bookmarkStart w:id="159" w:name="_Toc219897175"/>
      <w:r>
        <w:t>Each User shall ensure that one or more of its Administration Users shall establish access to their respective SSI Account in accordance with Clause 12</w:t>
      </w:r>
      <w:r w:rsidRPr="00F7425A">
        <w:t>.</w:t>
      </w:r>
      <w:bookmarkEnd w:id="159"/>
    </w:p>
    <w:p w14:paraId="0079C70B" w14:textId="77777777" w:rsidR="00BD5168" w:rsidRDefault="00BD5168" w:rsidP="00BD5168">
      <w:pPr>
        <w:pStyle w:val="Heading2"/>
      </w:pPr>
      <w:bookmarkStart w:id="160" w:name="_Toc219897176"/>
      <w:r>
        <w:t>No later than 20 Working Days prior to the “</w:t>
      </w:r>
      <w:r w:rsidRPr="002030BA">
        <w:t>DSP FSM – Go Live</w:t>
      </w:r>
      <w:r>
        <w:t>” JIP Milestone, the DCC shall create an SSI Account on the FSM Migration Environment for each existing Administration User of the Legacy DSMS in accordance with Clause 12</w:t>
      </w:r>
      <w:r w:rsidRPr="00FE3623">
        <w:t xml:space="preserve">. </w:t>
      </w:r>
      <w:r>
        <w:t>The DCC shall configure each such SSI Account with access to the Job Type Role “Organisational Administrator” for each User ID for which the legacy Administration User account was associated.</w:t>
      </w:r>
      <w:r w:rsidRPr="00EE323B">
        <w:t xml:space="preserve"> </w:t>
      </w:r>
      <w:r>
        <w:t xml:space="preserve">Each User shall ensure that one or more of its </w:t>
      </w:r>
      <w:r w:rsidRPr="00FE3623">
        <w:t>Administration User</w:t>
      </w:r>
      <w:r>
        <w:t>s</w:t>
      </w:r>
      <w:r w:rsidRPr="00FE3623">
        <w:t xml:space="preserve"> shall establish access to </w:t>
      </w:r>
      <w:r>
        <w:t xml:space="preserve">their respective </w:t>
      </w:r>
      <w:r w:rsidRPr="00FE3623">
        <w:t xml:space="preserve">SSI Account in accordance with </w:t>
      </w:r>
      <w:r>
        <w:t>Clause 12</w:t>
      </w:r>
      <w:r w:rsidRPr="00FE3623">
        <w:t>.</w:t>
      </w:r>
      <w:bookmarkEnd w:id="160"/>
    </w:p>
    <w:p w14:paraId="5AD5B448" w14:textId="77777777" w:rsidR="00BD5168" w:rsidRDefault="00BD5168" w:rsidP="00BD5168">
      <w:pPr>
        <w:pStyle w:val="Heading2"/>
      </w:pPr>
      <w:bookmarkStart w:id="161" w:name="_Toc219897177"/>
      <w:r>
        <w:t xml:space="preserve">Following completion of the activities set out in Clause </w:t>
      </w:r>
      <w:r w:rsidRPr="002030BA">
        <w:t>11.11</w:t>
      </w:r>
      <w:r>
        <w:t>, each User shall ensure that one or more of its Administration Users shall:</w:t>
      </w:r>
      <w:bookmarkEnd w:id="161"/>
    </w:p>
    <w:p w14:paraId="53720C57" w14:textId="77777777" w:rsidR="00BD5168" w:rsidRDefault="00BD5168" w:rsidP="0087541E">
      <w:pPr>
        <w:pStyle w:val="Heading3"/>
        <w:numPr>
          <w:ilvl w:val="2"/>
          <w:numId w:val="45"/>
        </w:numPr>
        <w:tabs>
          <w:tab w:val="clear" w:pos="1418"/>
          <w:tab w:val="num" w:pos="360"/>
        </w:tabs>
        <w:ind w:left="1224" w:hanging="504"/>
      </w:pPr>
      <w:bookmarkStart w:id="162" w:name="_Toc219897178"/>
      <w:r>
        <w:t>re-activate each other SSI Account(s); and</w:t>
      </w:r>
      <w:bookmarkEnd w:id="162"/>
    </w:p>
    <w:p w14:paraId="59505745" w14:textId="77777777" w:rsidR="00BD5168" w:rsidRDefault="00BD5168" w:rsidP="0087541E">
      <w:pPr>
        <w:pStyle w:val="Heading3"/>
        <w:numPr>
          <w:ilvl w:val="2"/>
          <w:numId w:val="45"/>
        </w:numPr>
        <w:tabs>
          <w:tab w:val="clear" w:pos="1418"/>
          <w:tab w:val="num" w:pos="360"/>
        </w:tabs>
        <w:ind w:left="1224" w:hanging="504"/>
      </w:pPr>
      <w:bookmarkStart w:id="163" w:name="_Toc219897179"/>
      <w:r w:rsidRPr="00FA38E1">
        <w:t>review</w:t>
      </w:r>
      <w:r>
        <w:t xml:space="preserve"> and update</w:t>
      </w:r>
      <w:r w:rsidRPr="00FA38E1">
        <w:t xml:space="preserve"> all </w:t>
      </w:r>
      <w:r>
        <w:t>User IDs</w:t>
      </w:r>
      <w:r w:rsidRPr="00FA38E1">
        <w:t xml:space="preserve"> and all roles assigned to </w:t>
      </w:r>
      <w:r>
        <w:t>each</w:t>
      </w:r>
      <w:r w:rsidRPr="00FA38E1">
        <w:t xml:space="preserve"> </w:t>
      </w:r>
      <w:r>
        <w:t>such SSI Account(s)</w:t>
      </w:r>
      <w:bookmarkEnd w:id="163"/>
      <w:r>
        <w:t xml:space="preserve"> </w:t>
      </w:r>
    </w:p>
    <w:p w14:paraId="7A30E0F5" w14:textId="77777777" w:rsidR="00BD5168" w:rsidRDefault="00BD5168" w:rsidP="00BD5168">
      <w:pPr>
        <w:pStyle w:val="Heading3"/>
        <w:numPr>
          <w:ilvl w:val="0"/>
          <w:numId w:val="0"/>
        </w:numPr>
        <w:ind w:left="720"/>
      </w:pPr>
      <w:bookmarkStart w:id="164" w:name="_Toc219897180"/>
      <w:r>
        <w:lastRenderedPageBreak/>
        <w:t>in accordance with</w:t>
      </w:r>
      <w:r w:rsidRPr="00FA38E1">
        <w:t xml:space="preserve"> </w:t>
      </w:r>
      <w:r>
        <w:t xml:space="preserve">Clause 12 and </w:t>
      </w:r>
      <w:r w:rsidRPr="00FA38E1">
        <w:t>the role assignment procedure</w:t>
      </w:r>
      <w:r>
        <w:t xml:space="preserve"> set out in the SSI Functions and Roles Policy</w:t>
      </w:r>
      <w:r w:rsidRPr="007E3DB6">
        <w:t>.</w:t>
      </w:r>
      <w:bookmarkEnd w:id="164"/>
    </w:p>
    <w:p w14:paraId="4033109D" w14:textId="3BFEE090" w:rsidR="00BD5168" w:rsidRPr="004C19E0" w:rsidRDefault="00BD5168" w:rsidP="00BD5168">
      <w:pPr>
        <w:pStyle w:val="Heading2"/>
      </w:pPr>
      <w:bookmarkStart w:id="165" w:name="_Toc219897181"/>
      <w:r>
        <w:t xml:space="preserve">Each User shall be responsible for re-activating only those SSI Account(s) that it considers should have access to the FSM Platform in the production environment, and that each SSI Account is assigned only the User IDs and Job Type Roles required to perform its duties. The DCC shall not re-activate any SSI Accounts or assure the assignment of User IDs or Job Type Roles, besides the Administration User accounts referred to in Clauses 11.9 and </w:t>
      </w:r>
      <w:r w:rsidRPr="00EA3634">
        <w:t>11.11</w:t>
      </w:r>
      <w:r>
        <w:t>.</w:t>
      </w:r>
      <w:bookmarkEnd w:id="165"/>
    </w:p>
    <w:p w14:paraId="02112963" w14:textId="77777777" w:rsidR="00BD5168" w:rsidRPr="001258A1" w:rsidRDefault="00BD5168" w:rsidP="00BD5168">
      <w:pPr>
        <w:pStyle w:val="Body2"/>
        <w:ind w:left="720"/>
        <w:rPr>
          <w:b/>
          <w:bCs/>
        </w:rPr>
      </w:pPr>
      <w:r w:rsidRPr="001258A1">
        <w:rPr>
          <w:b/>
          <w:bCs/>
        </w:rPr>
        <w:t xml:space="preserve">Additional User Testing for </w:t>
      </w:r>
      <w:r>
        <w:rPr>
          <w:b/>
          <w:bCs/>
        </w:rPr>
        <w:t xml:space="preserve">the </w:t>
      </w:r>
      <w:r w:rsidRPr="001258A1">
        <w:rPr>
          <w:b/>
          <w:bCs/>
        </w:rPr>
        <w:t>Future Service Management</w:t>
      </w:r>
      <w:r>
        <w:rPr>
          <w:b/>
          <w:bCs/>
        </w:rPr>
        <w:t xml:space="preserve"> Platform</w:t>
      </w:r>
    </w:p>
    <w:p w14:paraId="676D5FFA" w14:textId="50EE2FA3" w:rsidR="00BD5168" w:rsidRDefault="00BD5168" w:rsidP="00BD5168">
      <w:pPr>
        <w:pStyle w:val="Heading2"/>
      </w:pPr>
      <w:bookmarkStart w:id="166" w:name="_Toc219897182"/>
      <w:r>
        <w:t xml:space="preserve">Each </w:t>
      </w:r>
      <w:r w:rsidR="00B054B3">
        <w:t xml:space="preserve">Party that has completed </w:t>
      </w:r>
      <w:r w:rsidR="00B054B3" w:rsidRPr="005D3D38">
        <w:t xml:space="preserve">User Entry Process Testing for a particular User Role prior to tests equivalent to those required by the Additional User Testing for FSM coming into effect in Appendix R (Common Test Scenarios Document) Clause 8.1.27 (Self Service Interface Test) must successfully complete Additional User Testing for FSM in respect of that User Role prior to being eligible to access the </w:t>
      </w:r>
      <w:r>
        <w:t>FSM Platform.</w:t>
      </w:r>
      <w:bookmarkEnd w:id="166"/>
    </w:p>
    <w:p w14:paraId="6A07EFAF" w14:textId="77777777" w:rsidR="00BD5168" w:rsidRDefault="00BD5168" w:rsidP="00BD5168">
      <w:pPr>
        <w:pStyle w:val="Heading2"/>
      </w:pPr>
      <w:bookmarkStart w:id="167" w:name="_Toc219897183"/>
      <w:r w:rsidRPr="006B1D6E">
        <w:t xml:space="preserve">Parties that start </w:t>
      </w:r>
      <w:r>
        <w:t xml:space="preserve">the </w:t>
      </w:r>
      <w:r w:rsidRPr="006B1D6E">
        <w:t>User Entry Process Tests prior to</w:t>
      </w:r>
      <w:r>
        <w:t xml:space="preserve"> the revisions to</w:t>
      </w:r>
      <w:r w:rsidRPr="006B1D6E">
        <w:t xml:space="preserve"> </w:t>
      </w:r>
      <w:r>
        <w:t>Appendix R Clause 8.1.27 coming into effect</w:t>
      </w:r>
      <w:r w:rsidRPr="006B1D6E">
        <w:t xml:space="preserve"> may undertake (and be able to successfully complete) the User Entry Process Tests without reference to </w:t>
      </w:r>
      <w:r>
        <w:t xml:space="preserve">this </w:t>
      </w:r>
      <w:r w:rsidRPr="006B1D6E">
        <w:t>testing.</w:t>
      </w:r>
      <w:bookmarkEnd w:id="167"/>
    </w:p>
    <w:p w14:paraId="4D82F2B3" w14:textId="3C27B7DD" w:rsidR="00BD5168" w:rsidRDefault="00BD5168" w:rsidP="00A66EEA">
      <w:pPr>
        <w:pStyle w:val="Heading2"/>
      </w:pPr>
      <w:bookmarkStart w:id="168" w:name="_Toc219897184"/>
      <w:r>
        <w:t>A</w:t>
      </w:r>
      <w:r w:rsidRPr="006B1D6E">
        <w:t xml:space="preserve"> Party that completes </w:t>
      </w:r>
      <w:r>
        <w:t xml:space="preserve">the </w:t>
      </w:r>
      <w:r w:rsidRPr="006B1D6E">
        <w:t xml:space="preserve">User Entry Process Tests in respect of a User Role that did not include </w:t>
      </w:r>
      <w:r>
        <w:t xml:space="preserve">the revised </w:t>
      </w:r>
      <w:r w:rsidRPr="006B1D6E">
        <w:t xml:space="preserve">testing </w:t>
      </w:r>
      <w:r>
        <w:t xml:space="preserve">set out in Appendix R Clause 8.1.27 </w:t>
      </w:r>
      <w:r w:rsidRPr="006B1D6E">
        <w:t xml:space="preserve">shall (notwithstanding any other provision of this Code) not be eligible to access </w:t>
      </w:r>
      <w:r>
        <w:t xml:space="preserve">the </w:t>
      </w:r>
      <w:r w:rsidRPr="006B1D6E">
        <w:t>FSM</w:t>
      </w:r>
      <w:r>
        <w:t xml:space="preserve"> Platform</w:t>
      </w:r>
      <w:r w:rsidR="00AF0EB0">
        <w:t xml:space="preserve"> </w:t>
      </w:r>
      <w:r w:rsidR="00AF0EB0" w:rsidRPr="00AF0EB0">
        <w:t>until such time as they have successfully completed Additional User Testing for FSM in relation to the relevant User Role.</w:t>
      </w:r>
      <w:bookmarkEnd w:id="168"/>
      <w:r w:rsidR="00AF0EB0" w:rsidRPr="00AF0EB0">
        <w:t xml:space="preserve"> </w:t>
      </w:r>
    </w:p>
    <w:p w14:paraId="33A5ACF9" w14:textId="0C2D0E42" w:rsidR="00BD5168" w:rsidRDefault="00BD5168" w:rsidP="00BD5168">
      <w:pPr>
        <w:pStyle w:val="Heading2"/>
      </w:pPr>
      <w:bookmarkStart w:id="169" w:name="_Toc219897185"/>
      <w:r w:rsidRPr="001258A1">
        <w:t xml:space="preserve">Any </w:t>
      </w:r>
      <w:r>
        <w:t>Party</w:t>
      </w:r>
      <w:r w:rsidRPr="001258A1">
        <w:t xml:space="preserve"> that undertak</w:t>
      </w:r>
      <w:r>
        <w:t>es</w:t>
      </w:r>
      <w:r w:rsidRPr="001258A1">
        <w:t xml:space="preserve"> User Entry Process Test</w:t>
      </w:r>
      <w:r>
        <w:t>ing</w:t>
      </w:r>
      <w:r w:rsidRPr="001258A1">
        <w:t xml:space="preserve"> </w:t>
      </w:r>
      <w:r>
        <w:t xml:space="preserve">for a particular User Role </w:t>
      </w:r>
      <w:r w:rsidR="00E6218B">
        <w:t xml:space="preserve">starting prior to the revised testing coming into effect </w:t>
      </w:r>
      <w:r>
        <w:t>with the intention of successfully completing the User Entry Process for that User Role on a</w:t>
      </w:r>
      <w:r w:rsidRPr="001258A1">
        <w:t xml:space="preserve"> date that is on or after the “DSP FSM – Go Live” JIP Milestone will not be required to undertake the testing set out in Appendix R Clause 8.1.27 prior to the revised testing coming into effect.</w:t>
      </w:r>
      <w:bookmarkEnd w:id="169"/>
    </w:p>
    <w:p w14:paraId="75E98E2B" w14:textId="77777777" w:rsidR="00BD5168" w:rsidRPr="002B1725" w:rsidRDefault="00BD5168" w:rsidP="00BD5168">
      <w:pPr>
        <w:pStyle w:val="Heading2"/>
      </w:pPr>
      <w:bookmarkStart w:id="170" w:name="_Toc219897186"/>
      <w:r w:rsidRPr="003656B0">
        <w:t xml:space="preserve">The following tables outline the </w:t>
      </w:r>
      <w:r w:rsidRPr="00CC2684">
        <w:rPr>
          <w:b/>
          <w:bCs w:val="0"/>
        </w:rPr>
        <w:t>Additional User Testing for FSM</w:t>
      </w:r>
      <w:r w:rsidRPr="003656B0">
        <w:t xml:space="preserve"> required to be executed by a Testing Participant to determine whether the prospective User can access the SSI. Test SSI04 need only be completed by Testing Participants which either have </w:t>
      </w:r>
      <w:r w:rsidRPr="003656B0">
        <w:lastRenderedPageBreak/>
        <w:t xml:space="preserve">previously ordered 4G Communications Hubs or intend to order 4G Communications Hubs in </w:t>
      </w:r>
      <w:r>
        <w:t xml:space="preserve">the </w:t>
      </w:r>
      <w:r w:rsidRPr="003656B0">
        <w:t>future</w:t>
      </w:r>
      <w:r>
        <w:t>.</w:t>
      </w:r>
      <w:bookmarkEnd w:id="170"/>
    </w:p>
    <w:p w14:paraId="1BFFECED" w14:textId="77777777" w:rsidR="00BD5168" w:rsidRDefault="00BD5168" w:rsidP="00BD5168">
      <w:pPr>
        <w:ind w:left="300"/>
      </w:pPr>
      <w:r>
        <w: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1F2EC1EE" w14:textId="77777777">
        <w:tc>
          <w:tcPr>
            <w:tcW w:w="1560" w:type="dxa"/>
            <w:shd w:val="clear" w:color="auto" w:fill="D9D9D9"/>
          </w:tcPr>
          <w:p w14:paraId="443109C1" w14:textId="77777777" w:rsidR="00BD5168" w:rsidRPr="00E175D8" w:rsidRDefault="00BD5168">
            <w:pPr>
              <w:pStyle w:val="TableParagraphNormal"/>
              <w:contextualSpacing w:val="0"/>
              <w:rPr>
                <w:b/>
                <w:bCs/>
              </w:rPr>
            </w:pPr>
            <w:r w:rsidRPr="00E175D8">
              <w:rPr>
                <w:b/>
                <w:bCs/>
              </w:rPr>
              <w:t>ID</w:t>
            </w:r>
          </w:p>
        </w:tc>
        <w:tc>
          <w:tcPr>
            <w:tcW w:w="8345" w:type="dxa"/>
            <w:shd w:val="clear" w:color="auto" w:fill="D9D9D9"/>
          </w:tcPr>
          <w:p w14:paraId="284FF9CC" w14:textId="77777777" w:rsidR="00BD5168" w:rsidRPr="00E175D8" w:rsidRDefault="00BD5168">
            <w:pPr>
              <w:pStyle w:val="TableParagraphNormal"/>
              <w:contextualSpacing w:val="0"/>
              <w:rPr>
                <w:b/>
                <w:bCs/>
              </w:rPr>
            </w:pPr>
            <w:r w:rsidRPr="00E175D8">
              <w:rPr>
                <w:b/>
                <w:bCs/>
              </w:rPr>
              <w:t>SSI</w:t>
            </w:r>
            <w:r>
              <w:rPr>
                <w:b/>
                <w:bCs/>
              </w:rPr>
              <w:t>0</w:t>
            </w:r>
            <w:r w:rsidRPr="00E175D8">
              <w:rPr>
                <w:b/>
                <w:bCs/>
              </w:rPr>
              <w:t>1</w:t>
            </w:r>
          </w:p>
        </w:tc>
      </w:tr>
      <w:tr w:rsidR="00BD5168" w14:paraId="08B4C468" w14:textId="77777777">
        <w:tc>
          <w:tcPr>
            <w:tcW w:w="1560" w:type="dxa"/>
          </w:tcPr>
          <w:p w14:paraId="5FD2917D" w14:textId="77777777" w:rsidR="00BD5168" w:rsidRDefault="00BD5168">
            <w:pPr>
              <w:pStyle w:val="TableParagraphNormal"/>
              <w:contextualSpacing w:val="0"/>
            </w:pPr>
            <w:r>
              <w:t>Title:</w:t>
            </w:r>
          </w:p>
        </w:tc>
        <w:tc>
          <w:tcPr>
            <w:tcW w:w="8345" w:type="dxa"/>
          </w:tcPr>
          <w:p w14:paraId="2C2453EF" w14:textId="261350FA" w:rsidR="00BD5168" w:rsidRDefault="00BD5168">
            <w:pPr>
              <w:pStyle w:val="TableParagraphNormal"/>
              <w:contextualSpacing w:val="0"/>
            </w:pPr>
            <w:r>
              <w:t>Testing Participant can successfully log into and access the SSI.</w:t>
            </w:r>
          </w:p>
        </w:tc>
      </w:tr>
      <w:tr w:rsidR="00BD5168" w14:paraId="3BCEC682" w14:textId="77777777">
        <w:tc>
          <w:tcPr>
            <w:tcW w:w="1560" w:type="dxa"/>
          </w:tcPr>
          <w:p w14:paraId="19DF6F53" w14:textId="77777777" w:rsidR="00BD5168" w:rsidRDefault="00BD5168">
            <w:pPr>
              <w:pStyle w:val="TableParagraphNormal"/>
              <w:contextualSpacing w:val="0"/>
            </w:pPr>
            <w:r>
              <w:t>Prerequisite</w:t>
            </w:r>
          </w:p>
        </w:tc>
        <w:tc>
          <w:tcPr>
            <w:tcW w:w="8345" w:type="dxa"/>
          </w:tcPr>
          <w:p w14:paraId="2BBE76B4" w14:textId="77777777" w:rsidR="00BD5168" w:rsidRDefault="00BD5168" w:rsidP="0087541E">
            <w:pPr>
              <w:pStyle w:val="TableParagraphNormal"/>
              <w:numPr>
                <w:ilvl w:val="0"/>
                <w:numId w:val="47"/>
              </w:numPr>
              <w:spacing w:after="0"/>
              <w:ind w:left="600"/>
              <w:contextualSpacing w:val="0"/>
            </w:pPr>
            <w:r>
              <w:t>Testing Participant holds the role of IS, ES, GS, ED, GT, RSA, MDR or OU for testing purposes.</w:t>
            </w:r>
          </w:p>
          <w:p w14:paraId="44DCB008" w14:textId="77777777" w:rsidR="00BD5168" w:rsidRDefault="00BD5168" w:rsidP="0087541E">
            <w:pPr>
              <w:pStyle w:val="TableParagraphNormal"/>
              <w:numPr>
                <w:ilvl w:val="0"/>
                <w:numId w:val="47"/>
              </w:numPr>
              <w:spacing w:before="0" w:after="0"/>
              <w:ind w:left="600"/>
              <w:contextualSpacing w:val="0"/>
            </w:pPr>
            <w:r>
              <w:t>Completion of any new connectivity requirements (e.g. firewall or DNS changes) for access to the DCC System or completion of the enrolment process defined within the DCC Internet Access Policy (for Internet option).</w:t>
            </w:r>
          </w:p>
          <w:p w14:paraId="6159F82C" w14:textId="6B8EB49F" w:rsidR="00BD5168" w:rsidRDefault="00BD5168" w:rsidP="0087541E">
            <w:pPr>
              <w:pStyle w:val="TableParagraphNormal"/>
              <w:numPr>
                <w:ilvl w:val="0"/>
                <w:numId w:val="47"/>
              </w:numPr>
              <w:spacing w:before="0" w:after="0"/>
              <w:ind w:left="600"/>
              <w:contextualSpacing w:val="0"/>
            </w:pPr>
            <w:r>
              <w:t>Receipt of initial login details including SSI account details and one-time password</w:t>
            </w:r>
            <w:r w:rsidR="00F84269">
              <w:t>.</w:t>
            </w:r>
          </w:p>
          <w:p w14:paraId="5392A4F2" w14:textId="77777777" w:rsidR="00BD5168" w:rsidRDefault="00BD5168" w:rsidP="0087541E">
            <w:pPr>
              <w:pStyle w:val="TableParagraphNormal"/>
              <w:numPr>
                <w:ilvl w:val="0"/>
                <w:numId w:val="47"/>
              </w:numPr>
              <w:spacing w:before="0" w:after="0"/>
              <w:ind w:left="600"/>
              <w:contextualSpacing w:val="0"/>
            </w:pPr>
            <w:r>
              <w:t>Testing Participant has selected an MFA option (in accordance with DCC Internet Access Policy) and obtained any MFA application (</w:t>
            </w:r>
            <w:proofErr w:type="spellStart"/>
            <w:r>
              <w:t>e.g</w:t>
            </w:r>
            <w:proofErr w:type="spellEnd"/>
            <w:r>
              <w:t xml:space="preserve"> an authenticator) which they intend to use to support that option.</w:t>
            </w:r>
          </w:p>
        </w:tc>
      </w:tr>
    </w:tbl>
    <w:p w14:paraId="06A246F7"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0C384CD0" w14:textId="77777777">
        <w:tc>
          <w:tcPr>
            <w:tcW w:w="800" w:type="dxa"/>
            <w:shd w:val="clear" w:color="auto" w:fill="D9D9D9"/>
          </w:tcPr>
          <w:p w14:paraId="1A892E20" w14:textId="77777777" w:rsidR="00BD5168" w:rsidRDefault="00BD5168">
            <w:pPr>
              <w:pStyle w:val="TableParagraphNormal"/>
              <w:contextualSpacing w:val="0"/>
              <w:jc w:val="center"/>
            </w:pPr>
            <w:r>
              <w:t>Steps</w:t>
            </w:r>
          </w:p>
        </w:tc>
        <w:tc>
          <w:tcPr>
            <w:tcW w:w="1600" w:type="dxa"/>
            <w:shd w:val="clear" w:color="auto" w:fill="D9D9D9"/>
          </w:tcPr>
          <w:p w14:paraId="1BBB448A" w14:textId="77777777" w:rsidR="00BD5168" w:rsidRDefault="00BD5168">
            <w:pPr>
              <w:pStyle w:val="TableParagraphNormal"/>
              <w:contextualSpacing w:val="0"/>
            </w:pPr>
            <w:r>
              <w:t>Description</w:t>
            </w:r>
          </w:p>
        </w:tc>
        <w:tc>
          <w:tcPr>
            <w:tcW w:w="1700" w:type="dxa"/>
            <w:shd w:val="clear" w:color="auto" w:fill="D9D9D9"/>
          </w:tcPr>
          <w:p w14:paraId="7A411D79" w14:textId="77777777" w:rsidR="00BD5168" w:rsidRDefault="00BD5168">
            <w:pPr>
              <w:pStyle w:val="TableParagraphNormal"/>
              <w:contextualSpacing w:val="0"/>
            </w:pPr>
            <w:r>
              <w:t>Objective</w:t>
            </w:r>
          </w:p>
        </w:tc>
        <w:tc>
          <w:tcPr>
            <w:tcW w:w="3001" w:type="dxa"/>
            <w:shd w:val="clear" w:color="auto" w:fill="D9D9D9"/>
          </w:tcPr>
          <w:p w14:paraId="2F14A5C4" w14:textId="77777777" w:rsidR="00BD5168" w:rsidRDefault="00BD5168">
            <w:pPr>
              <w:pStyle w:val="TableParagraphNormal"/>
              <w:contextualSpacing w:val="0"/>
            </w:pPr>
            <w:r>
              <w:t>Actions</w:t>
            </w:r>
          </w:p>
        </w:tc>
        <w:tc>
          <w:tcPr>
            <w:tcW w:w="2801" w:type="dxa"/>
            <w:shd w:val="clear" w:color="auto" w:fill="D9D9D9"/>
          </w:tcPr>
          <w:p w14:paraId="46281EF4" w14:textId="77777777" w:rsidR="00BD5168" w:rsidRDefault="00BD5168">
            <w:pPr>
              <w:pStyle w:val="TableParagraphNormal"/>
              <w:contextualSpacing w:val="0"/>
            </w:pPr>
            <w:r>
              <w:t>Acceptance Criteria</w:t>
            </w:r>
          </w:p>
        </w:tc>
      </w:tr>
      <w:tr w:rsidR="00BD5168" w14:paraId="63A50CB0" w14:textId="77777777">
        <w:tc>
          <w:tcPr>
            <w:tcW w:w="800" w:type="dxa"/>
          </w:tcPr>
          <w:p w14:paraId="66E776B1" w14:textId="77777777" w:rsidR="00BD5168" w:rsidRDefault="00BD5168">
            <w:pPr>
              <w:pStyle w:val="TableParagraphNormal"/>
              <w:contextualSpacing w:val="0"/>
              <w:jc w:val="center"/>
            </w:pPr>
            <w:r>
              <w:t>1</w:t>
            </w:r>
          </w:p>
        </w:tc>
        <w:tc>
          <w:tcPr>
            <w:tcW w:w="1600" w:type="dxa"/>
          </w:tcPr>
          <w:p w14:paraId="58C147CE" w14:textId="77777777" w:rsidR="00BD5168" w:rsidRDefault="00BD5168">
            <w:pPr>
              <w:pStyle w:val="TableParagraphNormal"/>
              <w:contextualSpacing w:val="0"/>
            </w:pPr>
            <w:r>
              <w:t>Login via DCC IDP</w:t>
            </w:r>
          </w:p>
        </w:tc>
        <w:tc>
          <w:tcPr>
            <w:tcW w:w="1700" w:type="dxa"/>
          </w:tcPr>
          <w:p w14:paraId="09EC8C12" w14:textId="77777777" w:rsidR="00BD5168" w:rsidRDefault="00BD5168">
            <w:pPr>
              <w:pStyle w:val="TableParagraphNormal"/>
              <w:contextualSpacing w:val="0"/>
            </w:pPr>
            <w:r>
              <w:t>Authenticate via DCC IDP</w:t>
            </w:r>
          </w:p>
        </w:tc>
        <w:tc>
          <w:tcPr>
            <w:tcW w:w="3001" w:type="dxa"/>
          </w:tcPr>
          <w:p w14:paraId="52C64709" w14:textId="77777777" w:rsidR="00BD5168" w:rsidRDefault="00BD5168">
            <w:pPr>
              <w:pStyle w:val="TableParagraphNormal"/>
              <w:contextualSpacing w:val="0"/>
            </w:pPr>
            <w:r>
              <w:t>Party to open the web page for SSI logon and complete Party login using multi-factor authentication via DCC IDP.</w:t>
            </w:r>
          </w:p>
        </w:tc>
        <w:tc>
          <w:tcPr>
            <w:tcW w:w="2801" w:type="dxa"/>
          </w:tcPr>
          <w:p w14:paraId="1B9FFC76" w14:textId="77777777" w:rsidR="00BD5168" w:rsidRDefault="00BD5168">
            <w:pPr>
              <w:pStyle w:val="TableParagraphNormal"/>
              <w:contextualSpacing w:val="0"/>
            </w:pPr>
            <w:r>
              <w:t>Login successful and the authenticating SEC Party is presented with the SSI.</w:t>
            </w:r>
          </w:p>
        </w:tc>
      </w:tr>
    </w:tbl>
    <w:p w14:paraId="4DE4A343"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095504FD" w14:textId="77777777">
        <w:tc>
          <w:tcPr>
            <w:tcW w:w="1560" w:type="dxa"/>
            <w:shd w:val="clear" w:color="auto" w:fill="D9D9D9"/>
          </w:tcPr>
          <w:p w14:paraId="57582DAF" w14:textId="77777777" w:rsidR="00BD5168" w:rsidRPr="006B5120" w:rsidRDefault="00BD5168">
            <w:pPr>
              <w:pStyle w:val="TableParagraphNormal"/>
              <w:contextualSpacing w:val="0"/>
              <w:rPr>
                <w:b/>
                <w:bCs/>
              </w:rPr>
            </w:pPr>
            <w:r w:rsidRPr="006B5120">
              <w:rPr>
                <w:b/>
                <w:bCs/>
              </w:rPr>
              <w:t>ID</w:t>
            </w:r>
          </w:p>
        </w:tc>
        <w:tc>
          <w:tcPr>
            <w:tcW w:w="8345" w:type="dxa"/>
            <w:shd w:val="clear" w:color="auto" w:fill="D9D9D9"/>
          </w:tcPr>
          <w:p w14:paraId="6CDD8570" w14:textId="77777777" w:rsidR="00BD5168" w:rsidRPr="006B5120" w:rsidRDefault="00BD5168">
            <w:pPr>
              <w:pStyle w:val="TableParagraphNormal"/>
              <w:contextualSpacing w:val="0"/>
              <w:rPr>
                <w:b/>
                <w:bCs/>
              </w:rPr>
            </w:pPr>
            <w:r w:rsidRPr="006B5120">
              <w:rPr>
                <w:b/>
                <w:bCs/>
              </w:rPr>
              <w:t>SSI</w:t>
            </w:r>
            <w:r>
              <w:rPr>
                <w:b/>
                <w:bCs/>
              </w:rPr>
              <w:t>02</w:t>
            </w:r>
          </w:p>
        </w:tc>
      </w:tr>
      <w:tr w:rsidR="00BD5168" w14:paraId="6FD1747B" w14:textId="77777777">
        <w:tc>
          <w:tcPr>
            <w:tcW w:w="1560" w:type="dxa"/>
          </w:tcPr>
          <w:p w14:paraId="1DAD1596" w14:textId="77777777" w:rsidR="00BD5168" w:rsidRDefault="00BD5168">
            <w:pPr>
              <w:pStyle w:val="TableParagraphNormal"/>
              <w:contextualSpacing w:val="0"/>
            </w:pPr>
            <w:r>
              <w:t>Title:</w:t>
            </w:r>
          </w:p>
        </w:tc>
        <w:tc>
          <w:tcPr>
            <w:tcW w:w="8345" w:type="dxa"/>
          </w:tcPr>
          <w:p w14:paraId="1421CD66" w14:textId="77777777" w:rsidR="00BD5168" w:rsidRDefault="00BD5168">
            <w:pPr>
              <w:pStyle w:val="TableParagraphNormal"/>
              <w:contextualSpacing w:val="0"/>
            </w:pPr>
            <w:r>
              <w:t>Testing Participant can successfully raise, amend, and close an Incident via the SSI.</w:t>
            </w:r>
          </w:p>
        </w:tc>
      </w:tr>
      <w:tr w:rsidR="00BD5168" w14:paraId="296DFB39" w14:textId="77777777">
        <w:tc>
          <w:tcPr>
            <w:tcW w:w="1560" w:type="dxa"/>
          </w:tcPr>
          <w:p w14:paraId="516E75E3" w14:textId="77777777" w:rsidR="00BD5168" w:rsidRDefault="00BD5168">
            <w:pPr>
              <w:pStyle w:val="TableParagraphNormal"/>
              <w:contextualSpacing w:val="0"/>
            </w:pPr>
            <w:r>
              <w:t>Prerequisite:</w:t>
            </w:r>
          </w:p>
        </w:tc>
        <w:tc>
          <w:tcPr>
            <w:tcW w:w="8345" w:type="dxa"/>
          </w:tcPr>
          <w:p w14:paraId="15AD7230" w14:textId="77777777" w:rsidR="00BD5168" w:rsidRDefault="00BD5168" w:rsidP="0087541E">
            <w:pPr>
              <w:pStyle w:val="TableParagraphNormal"/>
              <w:numPr>
                <w:ilvl w:val="0"/>
                <w:numId w:val="47"/>
              </w:numPr>
              <w:spacing w:after="0"/>
              <w:ind w:left="600"/>
              <w:contextualSpacing w:val="0"/>
            </w:pPr>
            <w:r>
              <w:t>Testing Participant holds the role of IS, ES, GS, ED, GT, RSA, MDR or OU for testing purposes.</w:t>
            </w:r>
          </w:p>
          <w:p w14:paraId="3A02646B" w14:textId="77777777" w:rsidR="00BD5168" w:rsidRDefault="00BD5168" w:rsidP="0087541E">
            <w:pPr>
              <w:pStyle w:val="TableParagraphNormal"/>
              <w:numPr>
                <w:ilvl w:val="0"/>
                <w:numId w:val="47"/>
              </w:numPr>
              <w:spacing w:before="0" w:after="0"/>
              <w:ind w:left="600"/>
              <w:contextualSpacing w:val="0"/>
            </w:pPr>
            <w:r>
              <w:t>Connection to DCC System or completion of the enrolment process defined within the DCC Internet Access Policy.</w:t>
            </w:r>
          </w:p>
          <w:p w14:paraId="08D33391" w14:textId="77777777" w:rsidR="00BD5168" w:rsidRDefault="00BD5168" w:rsidP="0087541E">
            <w:pPr>
              <w:pStyle w:val="TableParagraphNormal"/>
              <w:numPr>
                <w:ilvl w:val="0"/>
                <w:numId w:val="47"/>
              </w:numPr>
              <w:spacing w:before="0"/>
              <w:ind w:left="600"/>
              <w:contextualSpacing w:val="0"/>
            </w:pPr>
            <w:r>
              <w:t>Party SSI login authentication via DCC IDP.</w:t>
            </w:r>
          </w:p>
        </w:tc>
      </w:tr>
    </w:tbl>
    <w:p w14:paraId="7B4B805C"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2AE08BE6" w14:textId="77777777">
        <w:tc>
          <w:tcPr>
            <w:tcW w:w="800" w:type="dxa"/>
            <w:shd w:val="clear" w:color="auto" w:fill="D9D9D9"/>
          </w:tcPr>
          <w:p w14:paraId="1A8854A4" w14:textId="77777777" w:rsidR="00BD5168" w:rsidRDefault="00BD5168">
            <w:pPr>
              <w:pStyle w:val="TableParagraphNormal"/>
              <w:contextualSpacing w:val="0"/>
              <w:jc w:val="center"/>
            </w:pPr>
            <w:r>
              <w:t>Steps</w:t>
            </w:r>
          </w:p>
        </w:tc>
        <w:tc>
          <w:tcPr>
            <w:tcW w:w="1600" w:type="dxa"/>
            <w:shd w:val="clear" w:color="auto" w:fill="D9D9D9"/>
          </w:tcPr>
          <w:p w14:paraId="7B23DDEF" w14:textId="77777777" w:rsidR="00BD5168" w:rsidRDefault="00BD5168">
            <w:pPr>
              <w:pStyle w:val="TableParagraphNormal"/>
              <w:contextualSpacing w:val="0"/>
            </w:pPr>
            <w:r>
              <w:t>Description</w:t>
            </w:r>
          </w:p>
        </w:tc>
        <w:tc>
          <w:tcPr>
            <w:tcW w:w="1701" w:type="dxa"/>
            <w:shd w:val="clear" w:color="auto" w:fill="D9D9D9"/>
          </w:tcPr>
          <w:p w14:paraId="2A06092B" w14:textId="77777777" w:rsidR="00BD5168" w:rsidRDefault="00BD5168">
            <w:pPr>
              <w:pStyle w:val="TableParagraphNormal"/>
              <w:contextualSpacing w:val="0"/>
            </w:pPr>
            <w:r>
              <w:t>Objective</w:t>
            </w:r>
          </w:p>
        </w:tc>
        <w:tc>
          <w:tcPr>
            <w:tcW w:w="3002" w:type="dxa"/>
            <w:shd w:val="clear" w:color="auto" w:fill="D9D9D9"/>
          </w:tcPr>
          <w:p w14:paraId="449A8D77" w14:textId="77777777" w:rsidR="00BD5168" w:rsidRDefault="00BD5168">
            <w:pPr>
              <w:pStyle w:val="TableParagraphNormal"/>
              <w:contextualSpacing w:val="0"/>
            </w:pPr>
            <w:r>
              <w:t>Actions</w:t>
            </w:r>
          </w:p>
        </w:tc>
        <w:tc>
          <w:tcPr>
            <w:tcW w:w="2802" w:type="dxa"/>
            <w:shd w:val="clear" w:color="auto" w:fill="D9D9D9"/>
          </w:tcPr>
          <w:p w14:paraId="7831D5B5" w14:textId="77777777" w:rsidR="00BD5168" w:rsidRDefault="00BD5168">
            <w:pPr>
              <w:pStyle w:val="TableParagraphNormal"/>
              <w:contextualSpacing w:val="0"/>
            </w:pPr>
            <w:r>
              <w:t>Acceptance Criteria</w:t>
            </w:r>
          </w:p>
        </w:tc>
      </w:tr>
      <w:tr w:rsidR="00BD5168" w14:paraId="7A0B89A0" w14:textId="77777777">
        <w:tc>
          <w:tcPr>
            <w:tcW w:w="800" w:type="dxa"/>
          </w:tcPr>
          <w:p w14:paraId="0363B5E0" w14:textId="77777777" w:rsidR="00BD5168" w:rsidRDefault="00BD5168">
            <w:pPr>
              <w:pStyle w:val="TableParagraphNormal"/>
              <w:contextualSpacing w:val="0"/>
              <w:jc w:val="center"/>
            </w:pPr>
            <w:r>
              <w:t>1</w:t>
            </w:r>
          </w:p>
        </w:tc>
        <w:tc>
          <w:tcPr>
            <w:tcW w:w="1600" w:type="dxa"/>
          </w:tcPr>
          <w:p w14:paraId="2344F226" w14:textId="77777777" w:rsidR="00BD5168" w:rsidRDefault="00BD5168">
            <w:pPr>
              <w:pStyle w:val="TableParagraphNormal"/>
              <w:contextualSpacing w:val="0"/>
            </w:pPr>
            <w:r>
              <w:t>Create new Incident</w:t>
            </w:r>
          </w:p>
        </w:tc>
        <w:tc>
          <w:tcPr>
            <w:tcW w:w="1701" w:type="dxa"/>
          </w:tcPr>
          <w:p w14:paraId="270A4FE2" w14:textId="77777777" w:rsidR="00BD5168" w:rsidRDefault="00BD5168">
            <w:pPr>
              <w:pStyle w:val="TableParagraphNormal"/>
              <w:contextualSpacing w:val="0"/>
            </w:pPr>
            <w:r>
              <w:t>Creation of a new Incident</w:t>
            </w:r>
          </w:p>
        </w:tc>
        <w:tc>
          <w:tcPr>
            <w:tcW w:w="3002" w:type="dxa"/>
          </w:tcPr>
          <w:p w14:paraId="51A74DCB" w14:textId="77777777" w:rsidR="00BD5168" w:rsidRDefault="00BD5168">
            <w:pPr>
              <w:pStyle w:val="TableParagraphNormal"/>
              <w:contextualSpacing w:val="0"/>
            </w:pPr>
            <w:r>
              <w:t>Party to raise a new Incident within the SSI</w:t>
            </w:r>
          </w:p>
        </w:tc>
        <w:tc>
          <w:tcPr>
            <w:tcW w:w="2802" w:type="dxa"/>
          </w:tcPr>
          <w:p w14:paraId="1A604388" w14:textId="77777777" w:rsidR="00BD5168" w:rsidRDefault="00BD5168">
            <w:pPr>
              <w:pStyle w:val="TableParagraphNormal"/>
              <w:contextualSpacing w:val="0"/>
            </w:pPr>
            <w:r>
              <w:t>Creation of Incident successful</w:t>
            </w:r>
          </w:p>
        </w:tc>
      </w:tr>
      <w:tr w:rsidR="00BD5168" w14:paraId="6C437E4D" w14:textId="77777777">
        <w:tc>
          <w:tcPr>
            <w:tcW w:w="800" w:type="dxa"/>
          </w:tcPr>
          <w:p w14:paraId="27ABBB6F" w14:textId="77777777" w:rsidR="00BD5168" w:rsidRDefault="00BD5168">
            <w:pPr>
              <w:pStyle w:val="TableParagraphNormal"/>
              <w:contextualSpacing w:val="0"/>
              <w:jc w:val="center"/>
            </w:pPr>
            <w:r>
              <w:t>2</w:t>
            </w:r>
          </w:p>
        </w:tc>
        <w:tc>
          <w:tcPr>
            <w:tcW w:w="1600" w:type="dxa"/>
          </w:tcPr>
          <w:p w14:paraId="024251FE" w14:textId="77777777" w:rsidR="00BD5168" w:rsidRDefault="00BD5168">
            <w:pPr>
              <w:pStyle w:val="TableParagraphNormal"/>
              <w:contextualSpacing w:val="0"/>
            </w:pPr>
            <w:r>
              <w:t>Amend existing Incident</w:t>
            </w:r>
          </w:p>
        </w:tc>
        <w:tc>
          <w:tcPr>
            <w:tcW w:w="1701" w:type="dxa"/>
          </w:tcPr>
          <w:p w14:paraId="45502762" w14:textId="77777777" w:rsidR="00BD5168" w:rsidRDefault="00BD5168">
            <w:pPr>
              <w:pStyle w:val="TableParagraphNormal"/>
              <w:contextualSpacing w:val="0"/>
            </w:pPr>
            <w:r>
              <w:t>Amendment of existing Incident</w:t>
            </w:r>
          </w:p>
        </w:tc>
        <w:tc>
          <w:tcPr>
            <w:tcW w:w="3002" w:type="dxa"/>
          </w:tcPr>
          <w:p w14:paraId="2F03B797" w14:textId="77777777" w:rsidR="00BD5168" w:rsidRDefault="00BD5168">
            <w:pPr>
              <w:pStyle w:val="TableParagraphNormal"/>
              <w:contextualSpacing w:val="0"/>
            </w:pPr>
            <w:r>
              <w:t>Party to amend Incident created in step 1 within the SSI</w:t>
            </w:r>
          </w:p>
        </w:tc>
        <w:tc>
          <w:tcPr>
            <w:tcW w:w="2802" w:type="dxa"/>
          </w:tcPr>
          <w:p w14:paraId="3CA6F64B" w14:textId="77777777" w:rsidR="00BD5168" w:rsidRDefault="00BD5168">
            <w:pPr>
              <w:pStyle w:val="TableParagraphNormal"/>
              <w:contextualSpacing w:val="0"/>
            </w:pPr>
            <w:r>
              <w:t>Amendment of Incident successful</w:t>
            </w:r>
          </w:p>
        </w:tc>
      </w:tr>
      <w:tr w:rsidR="00BD5168" w14:paraId="16DED1F8" w14:textId="77777777">
        <w:tc>
          <w:tcPr>
            <w:tcW w:w="800" w:type="dxa"/>
          </w:tcPr>
          <w:p w14:paraId="74512EC1" w14:textId="77777777" w:rsidR="00BD5168" w:rsidRDefault="00BD5168">
            <w:pPr>
              <w:pStyle w:val="TableParagraphNormal"/>
              <w:contextualSpacing w:val="0"/>
              <w:jc w:val="center"/>
            </w:pPr>
            <w:r>
              <w:t>3</w:t>
            </w:r>
          </w:p>
        </w:tc>
        <w:tc>
          <w:tcPr>
            <w:tcW w:w="1600" w:type="dxa"/>
          </w:tcPr>
          <w:p w14:paraId="697B99C6" w14:textId="77777777" w:rsidR="00BD5168" w:rsidRDefault="00BD5168">
            <w:pPr>
              <w:pStyle w:val="TableParagraphNormal"/>
              <w:contextualSpacing w:val="0"/>
            </w:pPr>
            <w:r>
              <w:t>Resolve existing Incident</w:t>
            </w:r>
          </w:p>
        </w:tc>
        <w:tc>
          <w:tcPr>
            <w:tcW w:w="1701" w:type="dxa"/>
          </w:tcPr>
          <w:p w14:paraId="45C71DEA" w14:textId="77777777" w:rsidR="00BD5168" w:rsidRDefault="00BD5168">
            <w:pPr>
              <w:pStyle w:val="TableParagraphNormal"/>
              <w:contextualSpacing w:val="0"/>
            </w:pPr>
            <w:r>
              <w:t>Resolution of existing Incident</w:t>
            </w:r>
          </w:p>
        </w:tc>
        <w:tc>
          <w:tcPr>
            <w:tcW w:w="3002" w:type="dxa"/>
          </w:tcPr>
          <w:p w14:paraId="02D383D0" w14:textId="77777777" w:rsidR="00BD5168" w:rsidRDefault="00BD5168">
            <w:pPr>
              <w:pStyle w:val="TableParagraphNormal"/>
              <w:contextualSpacing w:val="0"/>
            </w:pPr>
            <w:r>
              <w:t>Party to resolve the Incident created in step 1 within the SSI</w:t>
            </w:r>
          </w:p>
        </w:tc>
        <w:tc>
          <w:tcPr>
            <w:tcW w:w="2802" w:type="dxa"/>
          </w:tcPr>
          <w:p w14:paraId="077461F6" w14:textId="77777777" w:rsidR="00BD5168" w:rsidRDefault="00BD5168">
            <w:pPr>
              <w:pStyle w:val="TableParagraphNormal"/>
              <w:contextualSpacing w:val="0"/>
            </w:pPr>
            <w:r>
              <w:t>Resolution of Incident successful</w:t>
            </w:r>
          </w:p>
        </w:tc>
      </w:tr>
    </w:tbl>
    <w:p w14:paraId="7D29D905"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767F6ABB" w14:textId="77777777">
        <w:tc>
          <w:tcPr>
            <w:tcW w:w="1560" w:type="dxa"/>
            <w:shd w:val="clear" w:color="auto" w:fill="D9D9D9"/>
          </w:tcPr>
          <w:p w14:paraId="49777FC7" w14:textId="77777777" w:rsidR="00BD5168" w:rsidRPr="006B5120" w:rsidRDefault="00BD5168">
            <w:pPr>
              <w:pStyle w:val="TableParagraphNormal"/>
              <w:contextualSpacing w:val="0"/>
              <w:rPr>
                <w:b/>
                <w:bCs/>
              </w:rPr>
            </w:pPr>
            <w:r w:rsidRPr="006B5120">
              <w:rPr>
                <w:b/>
                <w:bCs/>
              </w:rPr>
              <w:t>ID</w:t>
            </w:r>
          </w:p>
        </w:tc>
        <w:tc>
          <w:tcPr>
            <w:tcW w:w="8345" w:type="dxa"/>
            <w:shd w:val="clear" w:color="auto" w:fill="D9D9D9"/>
          </w:tcPr>
          <w:p w14:paraId="086DC731" w14:textId="77777777" w:rsidR="00BD5168" w:rsidRPr="006B5120" w:rsidRDefault="00BD5168">
            <w:pPr>
              <w:pStyle w:val="TableParagraphNormal"/>
              <w:contextualSpacing w:val="0"/>
              <w:rPr>
                <w:b/>
                <w:bCs/>
              </w:rPr>
            </w:pPr>
            <w:r w:rsidRPr="006B5120">
              <w:rPr>
                <w:b/>
                <w:bCs/>
              </w:rPr>
              <w:t>SSI</w:t>
            </w:r>
            <w:r>
              <w:rPr>
                <w:b/>
                <w:bCs/>
              </w:rPr>
              <w:t>03</w:t>
            </w:r>
          </w:p>
        </w:tc>
      </w:tr>
      <w:tr w:rsidR="00BD5168" w14:paraId="16FACA37" w14:textId="77777777">
        <w:tc>
          <w:tcPr>
            <w:tcW w:w="1560" w:type="dxa"/>
          </w:tcPr>
          <w:p w14:paraId="112E7029" w14:textId="77777777" w:rsidR="00BD5168" w:rsidRDefault="00BD5168">
            <w:pPr>
              <w:pStyle w:val="TableParagraphNormal"/>
              <w:contextualSpacing w:val="0"/>
            </w:pPr>
            <w:r>
              <w:t>Title:</w:t>
            </w:r>
          </w:p>
        </w:tc>
        <w:tc>
          <w:tcPr>
            <w:tcW w:w="8345" w:type="dxa"/>
          </w:tcPr>
          <w:p w14:paraId="3D91A1D9" w14:textId="77777777" w:rsidR="00BD5168" w:rsidRDefault="00BD5168">
            <w:pPr>
              <w:pStyle w:val="TableParagraphNormal"/>
              <w:contextualSpacing w:val="0"/>
            </w:pPr>
            <w:r>
              <w:t>Testing Participant can successfully administer Self Service User credentials within its organisation for access to the SSI</w:t>
            </w:r>
          </w:p>
        </w:tc>
      </w:tr>
      <w:tr w:rsidR="00BD5168" w14:paraId="558DC1F2" w14:textId="77777777">
        <w:tc>
          <w:tcPr>
            <w:tcW w:w="1560" w:type="dxa"/>
          </w:tcPr>
          <w:p w14:paraId="2E2C654A" w14:textId="77777777" w:rsidR="00BD5168" w:rsidRDefault="00BD5168">
            <w:pPr>
              <w:pStyle w:val="TableParagraphNormal"/>
              <w:contextualSpacing w:val="0"/>
            </w:pPr>
            <w:r>
              <w:t>Prerequisite:</w:t>
            </w:r>
          </w:p>
        </w:tc>
        <w:tc>
          <w:tcPr>
            <w:tcW w:w="8345" w:type="dxa"/>
          </w:tcPr>
          <w:p w14:paraId="7836A265" w14:textId="77777777" w:rsidR="00BD5168" w:rsidRDefault="00BD5168" w:rsidP="0087541E">
            <w:pPr>
              <w:pStyle w:val="TableParagraphNormal"/>
              <w:numPr>
                <w:ilvl w:val="0"/>
                <w:numId w:val="47"/>
              </w:numPr>
              <w:spacing w:after="0"/>
              <w:ind w:left="600"/>
              <w:contextualSpacing w:val="0"/>
            </w:pPr>
            <w:r>
              <w:t>Testing Participant holds the role of IS, ES, GS, ED, GT, RSA, MDR or OU for testing purposes.</w:t>
            </w:r>
          </w:p>
          <w:p w14:paraId="6300E6B7" w14:textId="77777777" w:rsidR="00BD5168" w:rsidRDefault="00BD5168" w:rsidP="0087541E">
            <w:pPr>
              <w:pStyle w:val="TableParagraphNormal"/>
              <w:numPr>
                <w:ilvl w:val="0"/>
                <w:numId w:val="47"/>
              </w:numPr>
              <w:spacing w:before="0" w:after="0"/>
              <w:ind w:left="600"/>
              <w:contextualSpacing w:val="0"/>
            </w:pPr>
            <w:r>
              <w:t>Connection to DCC System or completion of the DCC Internet Access enrolment process defined within the DCC Internet Access Policy.</w:t>
            </w:r>
          </w:p>
          <w:p w14:paraId="349FD538" w14:textId="77777777" w:rsidR="00BD5168" w:rsidRDefault="00BD5168" w:rsidP="0087541E">
            <w:pPr>
              <w:pStyle w:val="TableParagraphNormal"/>
              <w:numPr>
                <w:ilvl w:val="0"/>
                <w:numId w:val="47"/>
              </w:numPr>
              <w:spacing w:before="0"/>
              <w:ind w:left="600"/>
              <w:contextualSpacing w:val="0"/>
            </w:pPr>
            <w:r>
              <w:t>Party SSI login authentication via DCC IDP.</w:t>
            </w:r>
          </w:p>
          <w:p w14:paraId="72C39DE8" w14:textId="38490447" w:rsidR="00BD5168" w:rsidRDefault="00BD5168" w:rsidP="0087541E">
            <w:pPr>
              <w:pStyle w:val="TableParagraphNormal"/>
              <w:numPr>
                <w:ilvl w:val="0"/>
                <w:numId w:val="47"/>
              </w:numPr>
              <w:spacing w:before="0"/>
              <w:ind w:left="600"/>
              <w:contextualSpacing w:val="0"/>
            </w:pPr>
            <w:r>
              <w:t>Testing Participant has an SSI account with the Job Type Role of ‘Organisational Administrator’</w:t>
            </w:r>
            <w:r w:rsidR="005C1FB2">
              <w:t>.</w:t>
            </w:r>
          </w:p>
        </w:tc>
      </w:tr>
    </w:tbl>
    <w:p w14:paraId="3A5633B6"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0EA20694" w14:textId="77777777">
        <w:tc>
          <w:tcPr>
            <w:tcW w:w="800" w:type="dxa"/>
            <w:shd w:val="clear" w:color="auto" w:fill="D9D9D9"/>
          </w:tcPr>
          <w:p w14:paraId="180A9BF2" w14:textId="77777777" w:rsidR="00BD5168" w:rsidRDefault="00BD5168">
            <w:pPr>
              <w:pStyle w:val="TableParagraphNormal"/>
              <w:contextualSpacing w:val="0"/>
              <w:jc w:val="center"/>
            </w:pPr>
            <w:r>
              <w:lastRenderedPageBreak/>
              <w:t>Steps</w:t>
            </w:r>
          </w:p>
        </w:tc>
        <w:tc>
          <w:tcPr>
            <w:tcW w:w="1600" w:type="dxa"/>
            <w:shd w:val="clear" w:color="auto" w:fill="D9D9D9"/>
          </w:tcPr>
          <w:p w14:paraId="6A0D49AF" w14:textId="77777777" w:rsidR="00BD5168" w:rsidRDefault="00BD5168">
            <w:pPr>
              <w:pStyle w:val="TableParagraphNormal"/>
              <w:contextualSpacing w:val="0"/>
            </w:pPr>
            <w:r>
              <w:t>Description</w:t>
            </w:r>
          </w:p>
        </w:tc>
        <w:tc>
          <w:tcPr>
            <w:tcW w:w="1700" w:type="dxa"/>
            <w:shd w:val="clear" w:color="auto" w:fill="D9D9D9"/>
          </w:tcPr>
          <w:p w14:paraId="1AD0B650" w14:textId="77777777" w:rsidR="00BD5168" w:rsidRDefault="00BD5168">
            <w:pPr>
              <w:pStyle w:val="TableParagraphNormal"/>
              <w:contextualSpacing w:val="0"/>
            </w:pPr>
            <w:r>
              <w:t>Objective</w:t>
            </w:r>
          </w:p>
        </w:tc>
        <w:tc>
          <w:tcPr>
            <w:tcW w:w="3001" w:type="dxa"/>
            <w:shd w:val="clear" w:color="auto" w:fill="D9D9D9"/>
          </w:tcPr>
          <w:p w14:paraId="53EED894" w14:textId="77777777" w:rsidR="00BD5168" w:rsidRDefault="00BD5168">
            <w:pPr>
              <w:pStyle w:val="TableParagraphNormal"/>
              <w:contextualSpacing w:val="0"/>
            </w:pPr>
            <w:r>
              <w:t>Actions</w:t>
            </w:r>
          </w:p>
        </w:tc>
        <w:tc>
          <w:tcPr>
            <w:tcW w:w="2801" w:type="dxa"/>
            <w:shd w:val="clear" w:color="auto" w:fill="D9D9D9"/>
          </w:tcPr>
          <w:p w14:paraId="0CF7847A" w14:textId="77777777" w:rsidR="00BD5168" w:rsidRDefault="00BD5168">
            <w:pPr>
              <w:pStyle w:val="TableParagraphNormal"/>
              <w:contextualSpacing w:val="0"/>
            </w:pPr>
            <w:r>
              <w:t>Acceptance Criteria</w:t>
            </w:r>
          </w:p>
        </w:tc>
      </w:tr>
      <w:tr w:rsidR="00BD5168" w14:paraId="7D65B252" w14:textId="77777777">
        <w:tc>
          <w:tcPr>
            <w:tcW w:w="800" w:type="dxa"/>
          </w:tcPr>
          <w:p w14:paraId="78E30F77" w14:textId="77777777" w:rsidR="00BD5168" w:rsidRDefault="00BD5168">
            <w:pPr>
              <w:pStyle w:val="TableParagraphNormal"/>
              <w:contextualSpacing w:val="0"/>
              <w:jc w:val="center"/>
            </w:pPr>
            <w:r>
              <w:t>1</w:t>
            </w:r>
          </w:p>
        </w:tc>
        <w:tc>
          <w:tcPr>
            <w:tcW w:w="1600" w:type="dxa"/>
          </w:tcPr>
          <w:p w14:paraId="39D52ECF" w14:textId="77777777" w:rsidR="00BD5168" w:rsidRDefault="00BD5168">
            <w:pPr>
              <w:pStyle w:val="TableParagraphNormal"/>
              <w:contextualSpacing w:val="0"/>
            </w:pPr>
            <w:r>
              <w:t>Creation of new SSI Account</w:t>
            </w:r>
          </w:p>
        </w:tc>
        <w:tc>
          <w:tcPr>
            <w:tcW w:w="1700" w:type="dxa"/>
          </w:tcPr>
          <w:p w14:paraId="4271884D" w14:textId="77777777" w:rsidR="00BD5168" w:rsidRDefault="00BD5168">
            <w:pPr>
              <w:pStyle w:val="TableParagraphNormal"/>
              <w:contextualSpacing w:val="0"/>
            </w:pPr>
            <w:r>
              <w:t>Create a new SSI Account</w:t>
            </w:r>
          </w:p>
        </w:tc>
        <w:tc>
          <w:tcPr>
            <w:tcW w:w="3001" w:type="dxa"/>
          </w:tcPr>
          <w:p w14:paraId="1886C84B" w14:textId="77777777" w:rsidR="00BD5168" w:rsidRDefault="00BD5168">
            <w:pPr>
              <w:pStyle w:val="TableParagraphNormal"/>
              <w:contextualSpacing w:val="0"/>
            </w:pPr>
            <w:r>
              <w:t>Party to create a new SSI user account for a user within its organisation</w:t>
            </w:r>
          </w:p>
        </w:tc>
        <w:tc>
          <w:tcPr>
            <w:tcW w:w="2801" w:type="dxa"/>
          </w:tcPr>
          <w:p w14:paraId="05BEA251" w14:textId="77777777" w:rsidR="00BD5168" w:rsidRDefault="00BD5168">
            <w:pPr>
              <w:pStyle w:val="TableParagraphNormal"/>
              <w:contextualSpacing w:val="0"/>
            </w:pPr>
            <w:r>
              <w:t>Creation of new SSI user account successful</w:t>
            </w:r>
          </w:p>
        </w:tc>
      </w:tr>
      <w:tr w:rsidR="00BD5168" w14:paraId="2FAB191C" w14:textId="77777777">
        <w:tc>
          <w:tcPr>
            <w:tcW w:w="800" w:type="dxa"/>
          </w:tcPr>
          <w:p w14:paraId="4176FD22" w14:textId="77777777" w:rsidR="00BD5168" w:rsidRDefault="00BD5168">
            <w:pPr>
              <w:pStyle w:val="TableParagraphNormal"/>
              <w:contextualSpacing w:val="0"/>
              <w:jc w:val="center"/>
            </w:pPr>
            <w:r>
              <w:t>2</w:t>
            </w:r>
          </w:p>
        </w:tc>
        <w:tc>
          <w:tcPr>
            <w:tcW w:w="1600" w:type="dxa"/>
          </w:tcPr>
          <w:p w14:paraId="0CD9D93F" w14:textId="77777777" w:rsidR="00BD5168" w:rsidRDefault="00BD5168">
            <w:pPr>
              <w:pStyle w:val="TableParagraphNormal"/>
              <w:contextualSpacing w:val="0"/>
            </w:pPr>
            <w:r>
              <w:t>Amendment of SSI Account ’s Job Type Roles</w:t>
            </w:r>
          </w:p>
        </w:tc>
        <w:tc>
          <w:tcPr>
            <w:tcW w:w="1700" w:type="dxa"/>
          </w:tcPr>
          <w:p w14:paraId="1C6FFBD6" w14:textId="77777777" w:rsidR="00BD5168" w:rsidRDefault="00BD5168">
            <w:pPr>
              <w:pStyle w:val="TableParagraphNormal"/>
              <w:contextualSpacing w:val="0"/>
            </w:pPr>
            <w:r>
              <w:t xml:space="preserve">Amend </w:t>
            </w:r>
            <w:proofErr w:type="gramStart"/>
            <w:r>
              <w:t>a</w:t>
            </w:r>
            <w:proofErr w:type="gramEnd"/>
            <w:r>
              <w:t xml:space="preserve"> SSI Account’s Job Type Roles</w:t>
            </w:r>
          </w:p>
        </w:tc>
        <w:tc>
          <w:tcPr>
            <w:tcW w:w="3001" w:type="dxa"/>
          </w:tcPr>
          <w:p w14:paraId="0F1D1231" w14:textId="77777777" w:rsidR="00BD5168" w:rsidRDefault="00BD5168">
            <w:pPr>
              <w:pStyle w:val="TableParagraphNormal"/>
              <w:contextualSpacing w:val="0"/>
            </w:pPr>
            <w:r>
              <w:t>Party to amend the Job Type Roles given to the SSI Account created in step 1</w:t>
            </w:r>
          </w:p>
        </w:tc>
        <w:tc>
          <w:tcPr>
            <w:tcW w:w="2801" w:type="dxa"/>
          </w:tcPr>
          <w:p w14:paraId="694FA648" w14:textId="77777777" w:rsidR="00BD5168" w:rsidRDefault="00BD5168">
            <w:pPr>
              <w:pStyle w:val="TableParagraphNormal"/>
              <w:contextualSpacing w:val="0"/>
            </w:pPr>
            <w:r>
              <w:t>Amendment of SSI Account’s Job Type Role(s)Roles successful</w:t>
            </w:r>
          </w:p>
        </w:tc>
      </w:tr>
      <w:tr w:rsidR="00BD5168" w14:paraId="1DF18AB9" w14:textId="77777777">
        <w:tc>
          <w:tcPr>
            <w:tcW w:w="800" w:type="dxa"/>
          </w:tcPr>
          <w:p w14:paraId="51EF11CD" w14:textId="77777777" w:rsidR="00BD5168" w:rsidRDefault="00BD5168">
            <w:pPr>
              <w:pStyle w:val="TableParagraphNormal"/>
              <w:contextualSpacing w:val="0"/>
              <w:jc w:val="center"/>
            </w:pPr>
            <w:r>
              <w:t>3</w:t>
            </w:r>
          </w:p>
        </w:tc>
        <w:tc>
          <w:tcPr>
            <w:tcW w:w="1600" w:type="dxa"/>
          </w:tcPr>
          <w:p w14:paraId="5B8ABC03" w14:textId="77777777" w:rsidR="00BD5168" w:rsidRDefault="00BD5168">
            <w:pPr>
              <w:pStyle w:val="TableParagraphNormal"/>
              <w:contextualSpacing w:val="0"/>
            </w:pPr>
            <w:r>
              <w:t>Reset SSI Account credentials</w:t>
            </w:r>
          </w:p>
        </w:tc>
        <w:tc>
          <w:tcPr>
            <w:tcW w:w="1700" w:type="dxa"/>
          </w:tcPr>
          <w:p w14:paraId="745BB76C" w14:textId="77777777" w:rsidR="00BD5168" w:rsidRDefault="00BD5168">
            <w:pPr>
              <w:pStyle w:val="TableParagraphNormal"/>
              <w:contextualSpacing w:val="0"/>
            </w:pPr>
            <w:r>
              <w:t xml:space="preserve">Reset </w:t>
            </w:r>
            <w:proofErr w:type="gramStart"/>
            <w:r>
              <w:t>a</w:t>
            </w:r>
            <w:proofErr w:type="gramEnd"/>
            <w:r>
              <w:t xml:space="preserve"> SSI Account’s password</w:t>
            </w:r>
          </w:p>
        </w:tc>
        <w:tc>
          <w:tcPr>
            <w:tcW w:w="3001" w:type="dxa"/>
          </w:tcPr>
          <w:p w14:paraId="7D989F7E" w14:textId="77777777" w:rsidR="00BD5168" w:rsidRDefault="00BD5168">
            <w:pPr>
              <w:pStyle w:val="TableParagraphNormal"/>
              <w:contextualSpacing w:val="0"/>
            </w:pPr>
            <w:r>
              <w:t>Party to reset the password for the SSI Account created in step 1</w:t>
            </w:r>
          </w:p>
        </w:tc>
        <w:tc>
          <w:tcPr>
            <w:tcW w:w="2801" w:type="dxa"/>
          </w:tcPr>
          <w:p w14:paraId="632BAF50" w14:textId="77777777" w:rsidR="00BD5168" w:rsidRDefault="00BD5168">
            <w:pPr>
              <w:pStyle w:val="TableParagraphNormal"/>
              <w:contextualSpacing w:val="0"/>
            </w:pPr>
            <w:r>
              <w:t>Reset of SSI Account’s password successful</w:t>
            </w:r>
          </w:p>
        </w:tc>
      </w:tr>
      <w:tr w:rsidR="00BD5168" w14:paraId="6CF5D374" w14:textId="77777777">
        <w:tc>
          <w:tcPr>
            <w:tcW w:w="800" w:type="dxa"/>
          </w:tcPr>
          <w:p w14:paraId="56639BF2" w14:textId="77777777" w:rsidR="00BD5168" w:rsidRDefault="00BD5168">
            <w:pPr>
              <w:pStyle w:val="TableParagraphNormal"/>
              <w:contextualSpacing w:val="0"/>
              <w:jc w:val="center"/>
            </w:pPr>
            <w:r>
              <w:t>4</w:t>
            </w:r>
          </w:p>
        </w:tc>
        <w:tc>
          <w:tcPr>
            <w:tcW w:w="1600" w:type="dxa"/>
          </w:tcPr>
          <w:p w14:paraId="46626A5B" w14:textId="77777777" w:rsidR="00BD5168" w:rsidRDefault="00BD5168">
            <w:pPr>
              <w:pStyle w:val="TableParagraphNormal"/>
              <w:contextualSpacing w:val="0"/>
            </w:pPr>
            <w:r>
              <w:t>Removal of SSI Account</w:t>
            </w:r>
          </w:p>
        </w:tc>
        <w:tc>
          <w:tcPr>
            <w:tcW w:w="1700" w:type="dxa"/>
          </w:tcPr>
          <w:p w14:paraId="4896FDEC" w14:textId="77777777" w:rsidR="00BD5168" w:rsidRDefault="00BD5168">
            <w:pPr>
              <w:pStyle w:val="TableParagraphNormal"/>
              <w:contextualSpacing w:val="0"/>
            </w:pPr>
            <w:r>
              <w:t xml:space="preserve">Remove </w:t>
            </w:r>
            <w:proofErr w:type="gramStart"/>
            <w:r>
              <w:t>a</w:t>
            </w:r>
            <w:proofErr w:type="gramEnd"/>
            <w:r>
              <w:t xml:space="preserve"> SSI Account</w:t>
            </w:r>
          </w:p>
        </w:tc>
        <w:tc>
          <w:tcPr>
            <w:tcW w:w="3001" w:type="dxa"/>
          </w:tcPr>
          <w:p w14:paraId="639830E8" w14:textId="77777777" w:rsidR="00BD5168" w:rsidRDefault="00BD5168">
            <w:pPr>
              <w:pStyle w:val="TableParagraphNormal"/>
              <w:contextualSpacing w:val="0"/>
            </w:pPr>
            <w:r>
              <w:t>Party to remove the SSI Account created in step 1</w:t>
            </w:r>
          </w:p>
        </w:tc>
        <w:tc>
          <w:tcPr>
            <w:tcW w:w="2801" w:type="dxa"/>
          </w:tcPr>
          <w:p w14:paraId="60991CE1" w14:textId="77777777" w:rsidR="00BD5168" w:rsidRDefault="00BD5168">
            <w:pPr>
              <w:pStyle w:val="TableParagraphNormal"/>
              <w:contextualSpacing w:val="0"/>
            </w:pPr>
            <w:r>
              <w:t>Removal of SSI Account successful</w:t>
            </w:r>
          </w:p>
        </w:tc>
      </w:tr>
    </w:tbl>
    <w:p w14:paraId="2DBE02AD"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3CBD1C34" w14:textId="77777777">
        <w:tc>
          <w:tcPr>
            <w:tcW w:w="1560" w:type="dxa"/>
            <w:shd w:val="clear" w:color="auto" w:fill="D9D9D9"/>
          </w:tcPr>
          <w:p w14:paraId="6D79724C" w14:textId="77777777" w:rsidR="00BD5168" w:rsidRPr="006B5120" w:rsidRDefault="00BD5168">
            <w:pPr>
              <w:pStyle w:val="TableParagraphNormal"/>
              <w:contextualSpacing w:val="0"/>
              <w:rPr>
                <w:b/>
                <w:bCs/>
              </w:rPr>
            </w:pPr>
            <w:r w:rsidRPr="006B5120">
              <w:rPr>
                <w:b/>
                <w:bCs/>
              </w:rPr>
              <w:t>ID</w:t>
            </w:r>
          </w:p>
        </w:tc>
        <w:tc>
          <w:tcPr>
            <w:tcW w:w="8345" w:type="dxa"/>
            <w:shd w:val="clear" w:color="auto" w:fill="D9D9D9"/>
          </w:tcPr>
          <w:p w14:paraId="6722CA70" w14:textId="77777777" w:rsidR="00BD5168" w:rsidRPr="006B5120" w:rsidRDefault="00BD5168">
            <w:pPr>
              <w:pStyle w:val="TableParagraphNormal"/>
              <w:contextualSpacing w:val="0"/>
              <w:rPr>
                <w:b/>
                <w:bCs/>
              </w:rPr>
            </w:pPr>
            <w:r w:rsidRPr="006B5120">
              <w:rPr>
                <w:b/>
                <w:bCs/>
              </w:rPr>
              <w:t>SSI</w:t>
            </w:r>
            <w:r>
              <w:rPr>
                <w:b/>
                <w:bCs/>
              </w:rPr>
              <w:t>04</w:t>
            </w:r>
          </w:p>
        </w:tc>
      </w:tr>
      <w:tr w:rsidR="00BD5168" w14:paraId="52DFCA4F" w14:textId="77777777">
        <w:tc>
          <w:tcPr>
            <w:tcW w:w="1560" w:type="dxa"/>
          </w:tcPr>
          <w:p w14:paraId="3DEFD7D9" w14:textId="77777777" w:rsidR="00BD5168" w:rsidRDefault="00BD5168">
            <w:pPr>
              <w:pStyle w:val="TableParagraphNormal"/>
              <w:contextualSpacing w:val="0"/>
            </w:pPr>
            <w:r>
              <w:t>Title:</w:t>
            </w:r>
          </w:p>
        </w:tc>
        <w:tc>
          <w:tcPr>
            <w:tcW w:w="8345" w:type="dxa"/>
          </w:tcPr>
          <w:p w14:paraId="35387B52" w14:textId="3A33D9B1" w:rsidR="00BD5168" w:rsidRDefault="00BD5168">
            <w:pPr>
              <w:pStyle w:val="TableParagraphNormal"/>
              <w:contextualSpacing w:val="0"/>
            </w:pPr>
            <w:r>
              <w:t>Testing Participant can submit each of a Communications Hub forecast, Communications Hub order and Communications Hub return via the SSI Self</w:t>
            </w:r>
          </w:p>
        </w:tc>
      </w:tr>
      <w:tr w:rsidR="00BD5168" w14:paraId="010FB93C" w14:textId="77777777">
        <w:tc>
          <w:tcPr>
            <w:tcW w:w="1560" w:type="dxa"/>
          </w:tcPr>
          <w:p w14:paraId="6E612A83" w14:textId="77777777" w:rsidR="00BD5168" w:rsidRDefault="00BD5168">
            <w:pPr>
              <w:pStyle w:val="TableParagraphNormal"/>
              <w:contextualSpacing w:val="0"/>
            </w:pPr>
            <w:r>
              <w:t>Prerequisite:</w:t>
            </w:r>
          </w:p>
        </w:tc>
        <w:tc>
          <w:tcPr>
            <w:tcW w:w="8345" w:type="dxa"/>
          </w:tcPr>
          <w:p w14:paraId="244B9ED5" w14:textId="66B2383E" w:rsidR="000F3D9B" w:rsidRDefault="000F3D9B" w:rsidP="0087541E">
            <w:pPr>
              <w:pStyle w:val="TableParagraphNormal"/>
              <w:numPr>
                <w:ilvl w:val="0"/>
                <w:numId w:val="47"/>
              </w:numPr>
              <w:spacing w:before="0" w:after="0"/>
              <w:ind w:left="600"/>
              <w:contextualSpacing w:val="0"/>
            </w:pPr>
            <w:r w:rsidRPr="00162234">
              <w:t>Testing Participant</w:t>
            </w:r>
            <w:r>
              <w:t xml:space="preserve"> has</w:t>
            </w:r>
            <w:r w:rsidRPr="00162234">
              <w:t xml:space="preserve"> either previously ordered 4G Communications Hubs or intend to order 4G Communications Hubs in future</w:t>
            </w:r>
            <w:r>
              <w:t>.</w:t>
            </w:r>
          </w:p>
          <w:p w14:paraId="09B65A64" w14:textId="191708CD" w:rsidR="00BD5168" w:rsidRDefault="00BD5168" w:rsidP="0087541E">
            <w:pPr>
              <w:pStyle w:val="TableParagraphNormal"/>
              <w:numPr>
                <w:ilvl w:val="0"/>
                <w:numId w:val="47"/>
              </w:numPr>
              <w:spacing w:before="0" w:after="0"/>
              <w:ind w:left="600"/>
              <w:contextualSpacing w:val="0"/>
            </w:pPr>
            <w:r>
              <w:t>Connection to DCC System or completion of the enrolment process defined within the DCC Internet Access Policy.</w:t>
            </w:r>
          </w:p>
          <w:p w14:paraId="33B668EC" w14:textId="796F8A90" w:rsidR="00BD5168" w:rsidRDefault="00BD5168" w:rsidP="0087541E">
            <w:pPr>
              <w:pStyle w:val="TableParagraphNormal"/>
              <w:numPr>
                <w:ilvl w:val="0"/>
                <w:numId w:val="47"/>
              </w:numPr>
              <w:spacing w:before="0"/>
              <w:ind w:left="600"/>
              <w:contextualSpacing w:val="0"/>
            </w:pPr>
            <w:r>
              <w:t>Party SSI login authentication via DCC or own IDP</w:t>
            </w:r>
            <w:r w:rsidR="000F3D9B">
              <w:t>.</w:t>
            </w:r>
          </w:p>
          <w:p w14:paraId="77E40138" w14:textId="208D91BE" w:rsidR="00BD5168" w:rsidRDefault="00BD5168" w:rsidP="0087541E">
            <w:pPr>
              <w:pStyle w:val="TableParagraphNormal"/>
              <w:numPr>
                <w:ilvl w:val="0"/>
                <w:numId w:val="47"/>
              </w:numPr>
              <w:spacing w:before="0"/>
              <w:ind w:left="600"/>
              <w:contextualSpacing w:val="0"/>
            </w:pPr>
            <w:r>
              <w:t>Party has assigned a suitable OMS Job Type Role to a relevant SSI Account, per the SSI Functions and Roles Policy</w:t>
            </w:r>
            <w:r w:rsidR="000F3D9B">
              <w:t>.</w:t>
            </w:r>
          </w:p>
        </w:tc>
      </w:tr>
    </w:tbl>
    <w:p w14:paraId="5341D7E3"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6949FEE1" w14:textId="77777777">
        <w:tc>
          <w:tcPr>
            <w:tcW w:w="800" w:type="dxa"/>
            <w:shd w:val="clear" w:color="auto" w:fill="D9D9D9"/>
          </w:tcPr>
          <w:p w14:paraId="2003F5EF" w14:textId="77777777" w:rsidR="00BD5168" w:rsidRDefault="00BD5168">
            <w:pPr>
              <w:pStyle w:val="TableParagraphNormal"/>
              <w:contextualSpacing w:val="0"/>
              <w:jc w:val="center"/>
            </w:pPr>
            <w:r>
              <w:t>Steps</w:t>
            </w:r>
          </w:p>
        </w:tc>
        <w:tc>
          <w:tcPr>
            <w:tcW w:w="1600" w:type="dxa"/>
            <w:shd w:val="clear" w:color="auto" w:fill="D9D9D9"/>
          </w:tcPr>
          <w:p w14:paraId="52FEA84A" w14:textId="77777777" w:rsidR="00BD5168" w:rsidRDefault="00BD5168">
            <w:pPr>
              <w:pStyle w:val="TableParagraphNormal"/>
              <w:contextualSpacing w:val="0"/>
            </w:pPr>
            <w:r>
              <w:t>Description</w:t>
            </w:r>
          </w:p>
        </w:tc>
        <w:tc>
          <w:tcPr>
            <w:tcW w:w="1701" w:type="dxa"/>
            <w:shd w:val="clear" w:color="auto" w:fill="D9D9D9"/>
          </w:tcPr>
          <w:p w14:paraId="0E8B1041" w14:textId="77777777" w:rsidR="00BD5168" w:rsidRDefault="00BD5168">
            <w:pPr>
              <w:pStyle w:val="TableParagraphNormal"/>
              <w:contextualSpacing w:val="0"/>
            </w:pPr>
            <w:r>
              <w:t>Objective</w:t>
            </w:r>
          </w:p>
        </w:tc>
        <w:tc>
          <w:tcPr>
            <w:tcW w:w="3002" w:type="dxa"/>
            <w:shd w:val="clear" w:color="auto" w:fill="D9D9D9"/>
          </w:tcPr>
          <w:p w14:paraId="07FB3A46" w14:textId="77777777" w:rsidR="00BD5168" w:rsidRDefault="00BD5168">
            <w:pPr>
              <w:pStyle w:val="TableParagraphNormal"/>
              <w:contextualSpacing w:val="0"/>
            </w:pPr>
            <w:r>
              <w:t>Actions</w:t>
            </w:r>
          </w:p>
        </w:tc>
        <w:tc>
          <w:tcPr>
            <w:tcW w:w="2802" w:type="dxa"/>
            <w:shd w:val="clear" w:color="auto" w:fill="D9D9D9"/>
          </w:tcPr>
          <w:p w14:paraId="4BF74CCC" w14:textId="77777777" w:rsidR="00BD5168" w:rsidRDefault="00BD5168">
            <w:pPr>
              <w:pStyle w:val="TableParagraphNormal"/>
              <w:contextualSpacing w:val="0"/>
            </w:pPr>
            <w:r>
              <w:t>Acceptance Criteria</w:t>
            </w:r>
          </w:p>
        </w:tc>
      </w:tr>
      <w:tr w:rsidR="00BD5168" w14:paraId="32F36C5D" w14:textId="77777777">
        <w:tc>
          <w:tcPr>
            <w:tcW w:w="800" w:type="dxa"/>
          </w:tcPr>
          <w:p w14:paraId="56C3F699" w14:textId="77777777" w:rsidR="00BD5168" w:rsidRDefault="00BD5168">
            <w:pPr>
              <w:pStyle w:val="TableParagraphNormal"/>
              <w:contextualSpacing w:val="0"/>
              <w:jc w:val="center"/>
            </w:pPr>
            <w:r>
              <w:t>1</w:t>
            </w:r>
          </w:p>
        </w:tc>
        <w:tc>
          <w:tcPr>
            <w:tcW w:w="1600" w:type="dxa"/>
          </w:tcPr>
          <w:p w14:paraId="36D824E6" w14:textId="77777777" w:rsidR="00BD5168" w:rsidRDefault="00BD5168">
            <w:pPr>
              <w:pStyle w:val="TableParagraphNormal"/>
              <w:contextualSpacing w:val="0"/>
            </w:pPr>
            <w:r>
              <w:t>Create new Communication Hub Forecast</w:t>
            </w:r>
          </w:p>
        </w:tc>
        <w:tc>
          <w:tcPr>
            <w:tcW w:w="1701" w:type="dxa"/>
          </w:tcPr>
          <w:p w14:paraId="1D0C52D0" w14:textId="77777777" w:rsidR="00BD5168" w:rsidRDefault="00BD5168">
            <w:pPr>
              <w:pStyle w:val="TableParagraphNormal"/>
              <w:contextualSpacing w:val="0"/>
            </w:pPr>
            <w:r>
              <w:t>Creation of a new Communications Hub Forecast</w:t>
            </w:r>
          </w:p>
        </w:tc>
        <w:tc>
          <w:tcPr>
            <w:tcW w:w="3002" w:type="dxa"/>
          </w:tcPr>
          <w:p w14:paraId="7CD1C56F" w14:textId="77777777" w:rsidR="00BD5168" w:rsidRDefault="00BD5168">
            <w:pPr>
              <w:pStyle w:val="TableParagraphNormal"/>
              <w:contextualSpacing w:val="0"/>
            </w:pPr>
            <w:r>
              <w:t>Party to create a new Communications Hub Forecast for a 4G Communications Hub within the SSI</w:t>
            </w:r>
          </w:p>
        </w:tc>
        <w:tc>
          <w:tcPr>
            <w:tcW w:w="2802" w:type="dxa"/>
          </w:tcPr>
          <w:p w14:paraId="1690254B" w14:textId="77777777" w:rsidR="00BD5168" w:rsidRDefault="00BD5168">
            <w:pPr>
              <w:pStyle w:val="TableParagraphNormal"/>
              <w:contextualSpacing w:val="0"/>
            </w:pPr>
            <w:r>
              <w:t>Creation of Communications Hub Forecast successful</w:t>
            </w:r>
          </w:p>
        </w:tc>
      </w:tr>
      <w:tr w:rsidR="00BD5168" w14:paraId="5B9D793E" w14:textId="77777777">
        <w:tc>
          <w:tcPr>
            <w:tcW w:w="800" w:type="dxa"/>
          </w:tcPr>
          <w:p w14:paraId="3F90F584" w14:textId="77777777" w:rsidR="00BD5168" w:rsidRDefault="00BD5168">
            <w:pPr>
              <w:pStyle w:val="TableParagraphNormal"/>
              <w:contextualSpacing w:val="0"/>
              <w:jc w:val="center"/>
            </w:pPr>
            <w:r>
              <w:t>2</w:t>
            </w:r>
          </w:p>
        </w:tc>
        <w:tc>
          <w:tcPr>
            <w:tcW w:w="1600" w:type="dxa"/>
          </w:tcPr>
          <w:p w14:paraId="3727989A" w14:textId="77777777" w:rsidR="00BD5168" w:rsidRDefault="00BD5168">
            <w:pPr>
              <w:pStyle w:val="TableParagraphNormal"/>
              <w:contextualSpacing w:val="0"/>
            </w:pPr>
            <w:r>
              <w:t>Create new Communication Hub Order</w:t>
            </w:r>
          </w:p>
        </w:tc>
        <w:tc>
          <w:tcPr>
            <w:tcW w:w="1701" w:type="dxa"/>
          </w:tcPr>
          <w:p w14:paraId="05162903" w14:textId="77777777" w:rsidR="00BD5168" w:rsidRDefault="00BD5168">
            <w:pPr>
              <w:pStyle w:val="TableParagraphNormal"/>
              <w:contextualSpacing w:val="0"/>
            </w:pPr>
            <w:r>
              <w:t>Creation of a new Communications Hub Order</w:t>
            </w:r>
          </w:p>
        </w:tc>
        <w:tc>
          <w:tcPr>
            <w:tcW w:w="3002" w:type="dxa"/>
          </w:tcPr>
          <w:p w14:paraId="3E2FFC21" w14:textId="77777777" w:rsidR="00BD5168" w:rsidRDefault="00BD5168">
            <w:pPr>
              <w:pStyle w:val="TableParagraphNormal"/>
              <w:contextualSpacing w:val="0"/>
            </w:pPr>
            <w:r>
              <w:t>Party to create a new Communications Hub Order for a 4G Communications Hub within the SSI</w:t>
            </w:r>
          </w:p>
        </w:tc>
        <w:tc>
          <w:tcPr>
            <w:tcW w:w="2802" w:type="dxa"/>
          </w:tcPr>
          <w:p w14:paraId="51E865FD" w14:textId="77777777" w:rsidR="00BD5168" w:rsidRDefault="00BD5168">
            <w:pPr>
              <w:pStyle w:val="TableParagraphNormal"/>
              <w:contextualSpacing w:val="0"/>
            </w:pPr>
            <w:r>
              <w:t>Creation of Communications Hub Order successful</w:t>
            </w:r>
          </w:p>
        </w:tc>
      </w:tr>
      <w:tr w:rsidR="00BD5168" w14:paraId="0DAC7844" w14:textId="77777777">
        <w:tc>
          <w:tcPr>
            <w:tcW w:w="800" w:type="dxa"/>
          </w:tcPr>
          <w:p w14:paraId="434133AA" w14:textId="77777777" w:rsidR="00BD5168" w:rsidRDefault="00BD5168">
            <w:pPr>
              <w:pStyle w:val="TableParagraphNormal"/>
              <w:contextualSpacing w:val="0"/>
              <w:jc w:val="center"/>
            </w:pPr>
            <w:r>
              <w:t>3</w:t>
            </w:r>
          </w:p>
        </w:tc>
        <w:tc>
          <w:tcPr>
            <w:tcW w:w="1600" w:type="dxa"/>
          </w:tcPr>
          <w:p w14:paraId="3767C911" w14:textId="77777777" w:rsidR="00BD5168" w:rsidRDefault="00BD5168">
            <w:pPr>
              <w:pStyle w:val="TableParagraphNormal"/>
              <w:contextualSpacing w:val="0"/>
            </w:pPr>
            <w:r>
              <w:t>Create new Communications Hub return</w:t>
            </w:r>
          </w:p>
        </w:tc>
        <w:tc>
          <w:tcPr>
            <w:tcW w:w="1701" w:type="dxa"/>
          </w:tcPr>
          <w:p w14:paraId="23994F85" w14:textId="77777777" w:rsidR="00BD5168" w:rsidRDefault="00BD5168">
            <w:pPr>
              <w:pStyle w:val="TableParagraphNormal"/>
              <w:contextualSpacing w:val="0"/>
            </w:pPr>
            <w:r>
              <w:t>Creation of a new Communications Hub return</w:t>
            </w:r>
          </w:p>
        </w:tc>
        <w:tc>
          <w:tcPr>
            <w:tcW w:w="3002" w:type="dxa"/>
          </w:tcPr>
          <w:p w14:paraId="4B8C5996" w14:textId="77777777" w:rsidR="00BD5168" w:rsidRDefault="00BD5168">
            <w:pPr>
              <w:pStyle w:val="TableParagraphNormal"/>
              <w:contextualSpacing w:val="0"/>
            </w:pPr>
            <w:r>
              <w:t>Party to create a new Communications Hub return within the SSI</w:t>
            </w:r>
          </w:p>
        </w:tc>
        <w:tc>
          <w:tcPr>
            <w:tcW w:w="2802" w:type="dxa"/>
          </w:tcPr>
          <w:p w14:paraId="6255B924" w14:textId="77777777" w:rsidR="00BD5168" w:rsidRDefault="00BD5168">
            <w:pPr>
              <w:pStyle w:val="TableParagraphNormal"/>
              <w:contextualSpacing w:val="0"/>
            </w:pPr>
            <w:r>
              <w:t>Creation of Communications Hub return successful</w:t>
            </w:r>
          </w:p>
        </w:tc>
      </w:tr>
    </w:tbl>
    <w:p w14:paraId="2C8E888B" w14:textId="77777777" w:rsidR="00BD5168" w:rsidRPr="001249C1" w:rsidRDefault="00BD5168" w:rsidP="00BD5168">
      <w:pPr>
        <w:pStyle w:val="Body2"/>
      </w:pPr>
    </w:p>
    <w:p w14:paraId="73190D0B" w14:textId="77777777" w:rsidR="00BD5168" w:rsidRPr="001258A1" w:rsidRDefault="00BD5168" w:rsidP="00BD5168">
      <w:pPr>
        <w:pStyle w:val="Heading2"/>
      </w:pPr>
      <w:bookmarkStart w:id="171" w:name="_Toc219897187"/>
      <w:r w:rsidRPr="001258A1">
        <w:t xml:space="preserve">Sections H14.12 to H14.21 (User Entry Process Tests) shall apply to Additional User Testing </w:t>
      </w:r>
      <w:r>
        <w:t>on</w:t>
      </w:r>
      <w:r w:rsidRPr="001258A1">
        <w:t xml:space="preserve"> </w:t>
      </w:r>
      <w:r>
        <w:t xml:space="preserve">the </w:t>
      </w:r>
      <w:r w:rsidRPr="001258A1">
        <w:t xml:space="preserve">FSM </w:t>
      </w:r>
      <w:r>
        <w:t xml:space="preserve">Platform UIT Environment </w:t>
      </w:r>
      <w:r w:rsidRPr="001258A1">
        <w:t>subject to the variations set out below:</w:t>
      </w:r>
      <w:bookmarkEnd w:id="171"/>
    </w:p>
    <w:p w14:paraId="231642F4" w14:textId="77777777" w:rsidR="00BD5168" w:rsidRPr="001258A1" w:rsidRDefault="00BD5168" w:rsidP="0087541E">
      <w:pPr>
        <w:pStyle w:val="Heading3"/>
        <w:numPr>
          <w:ilvl w:val="2"/>
          <w:numId w:val="44"/>
        </w:numPr>
        <w:tabs>
          <w:tab w:val="clear" w:pos="1418"/>
          <w:tab w:val="num" w:pos="360"/>
        </w:tabs>
        <w:ind w:left="1224" w:hanging="504"/>
      </w:pPr>
      <w:bookmarkStart w:id="172" w:name="_Toc219897188"/>
      <w:r w:rsidRPr="001258A1">
        <w:t xml:space="preserve">as if references to UEPT were references to Additional User Testing for FSM and as if references to Parties seeking to become eligible as a User in a particular User Role were references to </w:t>
      </w:r>
      <w:r>
        <w:t>Users</w:t>
      </w:r>
      <w:r w:rsidRPr="001258A1">
        <w:t xml:space="preserve"> seeking to access the FSM </w:t>
      </w:r>
      <w:proofErr w:type="gramStart"/>
      <w:r w:rsidRPr="001258A1">
        <w:t>Platform;</w:t>
      </w:r>
      <w:bookmarkEnd w:id="172"/>
      <w:proofErr w:type="gramEnd"/>
    </w:p>
    <w:p w14:paraId="28134A1B" w14:textId="77777777" w:rsidR="00BD5168" w:rsidRPr="001258A1" w:rsidRDefault="00BD5168" w:rsidP="0087541E">
      <w:pPr>
        <w:pStyle w:val="Heading3"/>
        <w:numPr>
          <w:ilvl w:val="2"/>
          <w:numId w:val="44"/>
        </w:numPr>
        <w:tabs>
          <w:tab w:val="clear" w:pos="1418"/>
          <w:tab w:val="num" w:pos="360"/>
        </w:tabs>
        <w:ind w:left="1224" w:hanging="504"/>
      </w:pPr>
      <w:bookmarkStart w:id="173" w:name="_Toc219897189"/>
      <w:r w:rsidRPr="001258A1">
        <w:t xml:space="preserve">the purpose of the tests shall be to demonstrate that the </w:t>
      </w:r>
      <w:r>
        <w:t>User</w:t>
      </w:r>
      <w:r w:rsidRPr="001258A1">
        <w:t xml:space="preserve"> can access and use the FSM Platform for the purposes set out in this Code; and</w:t>
      </w:r>
      <w:bookmarkEnd w:id="173"/>
    </w:p>
    <w:p w14:paraId="070EC1E2" w14:textId="77777777" w:rsidR="00BD5168" w:rsidRPr="001258A1" w:rsidRDefault="00BD5168" w:rsidP="0087541E">
      <w:pPr>
        <w:pStyle w:val="Heading3"/>
        <w:numPr>
          <w:ilvl w:val="2"/>
          <w:numId w:val="44"/>
        </w:numPr>
        <w:tabs>
          <w:tab w:val="clear" w:pos="1418"/>
          <w:tab w:val="num" w:pos="360"/>
        </w:tabs>
        <w:ind w:left="1224" w:hanging="504"/>
      </w:pPr>
      <w:bookmarkStart w:id="174" w:name="_Toc219897190"/>
      <w:r w:rsidRPr="001258A1">
        <w:lastRenderedPageBreak/>
        <w:t xml:space="preserve">where a </w:t>
      </w:r>
      <w:r>
        <w:t>User</w:t>
      </w:r>
      <w:r w:rsidRPr="001258A1">
        <w:t xml:space="preserve"> has previously completed UEPT, Section H14.13(a) and Section H14.13(c) shall not apply to Additional User Testing for FSM.</w:t>
      </w:r>
      <w:bookmarkEnd w:id="174"/>
    </w:p>
    <w:p w14:paraId="5C30A6EF" w14:textId="77777777" w:rsidR="00BD5168" w:rsidRPr="009244B6" w:rsidRDefault="00BD5168" w:rsidP="00BD5168">
      <w:pPr>
        <w:pStyle w:val="Heading2"/>
        <w:numPr>
          <w:ilvl w:val="0"/>
          <w:numId w:val="0"/>
        </w:numPr>
        <w:ind w:left="709"/>
        <w:rPr>
          <w:b/>
          <w:bCs w:val="0"/>
        </w:rPr>
      </w:pPr>
      <w:bookmarkStart w:id="175" w:name="_Toc219897191"/>
      <w:r>
        <w:rPr>
          <w:b/>
          <w:bCs w:val="0"/>
        </w:rPr>
        <w:t>Alternative access to the Service Desk</w:t>
      </w:r>
      <w:bookmarkEnd w:id="175"/>
    </w:p>
    <w:p w14:paraId="674051A5" w14:textId="13F1114C" w:rsidR="00B054B3" w:rsidRDefault="00BD5168" w:rsidP="00BD5168">
      <w:pPr>
        <w:pStyle w:val="Heading2"/>
      </w:pPr>
      <w:bookmarkStart w:id="176" w:name="_Toc219897192"/>
      <w:r>
        <w:t xml:space="preserve">Further to the requirements of Sections H8.19 and H8.20 (Service Desk), the DCC shall provide and publish on the DCC Website a dedicated email address and a dedicated telephone number where Parties that are not eligible </w:t>
      </w:r>
      <w:r w:rsidRPr="0016679D">
        <w:t>or able to access the FSM Platform can seek resolution of queries relating to becoming eligible or able</w:t>
      </w:r>
      <w:r>
        <w:t xml:space="preserve"> to access to the FSM Platform</w:t>
      </w:r>
      <w:r w:rsidR="00B054B3">
        <w:t>.</w:t>
      </w:r>
      <w:bookmarkEnd w:id="176"/>
    </w:p>
    <w:p w14:paraId="518102A1" w14:textId="4CB6F60A" w:rsidR="00BD5168" w:rsidRDefault="00763083" w:rsidP="00BD5168">
      <w:pPr>
        <w:pStyle w:val="Heading2"/>
      </w:pPr>
      <w:bookmarkStart w:id="177" w:name="_Toc219897193"/>
      <w:r w:rsidRPr="00763083">
        <w:t>Further to the provisions of Section H8.19 (Service Desk), the Service Desk can additionally be used by Parties that have not completed the Additional User Testing for FSM to submit forecasts and orders in respect of 4G Communication Hubs until such time the Party completes the Additional User Testing for FSM</w:t>
      </w:r>
      <w:r w:rsidR="00BD5168">
        <w:t>.</w:t>
      </w:r>
      <w:bookmarkEnd w:id="177"/>
    </w:p>
    <w:p w14:paraId="5D4EB23A" w14:textId="4524609A" w:rsidR="00BD5168" w:rsidRDefault="00BD5168" w:rsidP="00BD5168">
      <w:pPr>
        <w:pStyle w:val="Heading1"/>
      </w:pPr>
      <w:bookmarkStart w:id="178" w:name="_Toc219897194"/>
      <w:bookmarkStart w:id="179" w:name="_Toc219900430"/>
      <w:r>
        <w:t xml:space="preserve">SSI Access Control Specification for the FSM </w:t>
      </w:r>
      <w:r w:rsidR="004426A5">
        <w:t>UIT</w:t>
      </w:r>
      <w:r>
        <w:t xml:space="preserve"> Environment and FSM Migration Environment</w:t>
      </w:r>
      <w:bookmarkEnd w:id="178"/>
      <w:bookmarkEnd w:id="179"/>
    </w:p>
    <w:p w14:paraId="2F184FCF" w14:textId="5C58C77C" w:rsidR="00BD5168" w:rsidRDefault="00BD5168" w:rsidP="00BD5168">
      <w:pPr>
        <w:pStyle w:val="Heading2"/>
      </w:pPr>
      <w:bookmarkStart w:id="180" w:name="_Toc219897195"/>
      <w:r>
        <w:t xml:space="preserve">This Clause 12 will apply to the FSM </w:t>
      </w:r>
      <w:r w:rsidR="00E16B5E">
        <w:t>UIT</w:t>
      </w:r>
      <w:r>
        <w:t xml:space="preserve"> Environment and FSM Migration Environment for the purposes of the activities in Clause 11. This Clause 12 does not apply to the Legacy DSMS at any time.</w:t>
      </w:r>
      <w:bookmarkEnd w:id="180"/>
    </w:p>
    <w:p w14:paraId="52BA91E3" w14:textId="77777777" w:rsidR="00BD5168" w:rsidRPr="00AC4EA6" w:rsidRDefault="00BD5168" w:rsidP="00BD5168">
      <w:pPr>
        <w:pStyle w:val="Heading2"/>
        <w:numPr>
          <w:ilvl w:val="0"/>
          <w:numId w:val="0"/>
        </w:numPr>
        <w:ind w:left="709"/>
        <w:rPr>
          <w:b/>
          <w:bCs w:val="0"/>
        </w:rPr>
      </w:pPr>
      <w:bookmarkStart w:id="181" w:name="_Toc219897196"/>
      <w:r w:rsidRPr="00AC4EA6">
        <w:rPr>
          <w:b/>
          <w:bCs w:val="0"/>
        </w:rPr>
        <w:t>Authorisation</w:t>
      </w:r>
      <w:bookmarkEnd w:id="181"/>
    </w:p>
    <w:p w14:paraId="5A7B9B90" w14:textId="77777777" w:rsidR="00BD5168" w:rsidRDefault="00BD5168" w:rsidP="00BD5168">
      <w:pPr>
        <w:pStyle w:val="Heading2"/>
      </w:pPr>
      <w:bookmarkStart w:id="182" w:name="_Toc219897197"/>
      <w:r>
        <w:t>The DCC shall ensure that access to Functional Components and information is only permitted to each person using the FSM Platform according to the Job Type Role(s) and User IDs assigned to their respective SSI Account within the SSI, in compliance with the Functional Components that the Job Type Role is entitled to access as set out in the SSI Functions and Roles Policy.</w:t>
      </w:r>
      <w:bookmarkEnd w:id="182"/>
    </w:p>
    <w:p w14:paraId="530BC4F1" w14:textId="77777777" w:rsidR="00BD5168" w:rsidRDefault="00BD5168" w:rsidP="00BD5168">
      <w:pPr>
        <w:pStyle w:val="Heading2"/>
      </w:pPr>
      <w:bookmarkStart w:id="183" w:name="_Toc219897198"/>
      <w:r>
        <w:t xml:space="preserve">Where the User Personnel’s SSI Account has been configured with multiple Job Type Roles and/or User IDs, the DCC shall grant access to that User Personnel to </w:t>
      </w:r>
      <w:proofErr w:type="gramStart"/>
      <w:r>
        <w:t>all of</w:t>
      </w:r>
      <w:proofErr w:type="gramEnd"/>
      <w:r>
        <w:t xml:space="preserve"> the Functional Components and information that it is entitled to access in </w:t>
      </w:r>
      <w:proofErr w:type="gramStart"/>
      <w:r>
        <w:t>all of</w:t>
      </w:r>
      <w:proofErr w:type="gramEnd"/>
      <w:r>
        <w:t xml:space="preserve"> those Job Type Role and User ID combinations.</w:t>
      </w:r>
      <w:bookmarkEnd w:id="183"/>
    </w:p>
    <w:p w14:paraId="058F4565" w14:textId="77777777" w:rsidR="00BD5168" w:rsidRPr="00423B1D" w:rsidRDefault="00BD5168" w:rsidP="00BD5168">
      <w:pPr>
        <w:pStyle w:val="Body2"/>
        <w:ind w:left="720"/>
        <w:rPr>
          <w:b/>
          <w:bCs/>
        </w:rPr>
      </w:pPr>
      <w:r w:rsidRPr="00423B1D">
        <w:rPr>
          <w:b/>
          <w:bCs/>
        </w:rPr>
        <w:t>Authentication</w:t>
      </w:r>
    </w:p>
    <w:p w14:paraId="6465E01F" w14:textId="4482F3FD" w:rsidR="00BD5168" w:rsidRDefault="00BD5168" w:rsidP="00BD5168">
      <w:pPr>
        <w:pStyle w:val="Heading2"/>
      </w:pPr>
      <w:bookmarkStart w:id="184" w:name="_Toc219897199"/>
      <w:r>
        <w:lastRenderedPageBreak/>
        <w:t xml:space="preserve">The DCC shall provide to Users an identity provider service for the purpose of authentication of User Personnel to the FSM </w:t>
      </w:r>
      <w:r w:rsidR="004426A5">
        <w:t>UIT</w:t>
      </w:r>
      <w:r>
        <w:t xml:space="preserve"> Environment or FSM Migration Environment (the “DCC Identity Provider Service”).</w:t>
      </w:r>
      <w:bookmarkEnd w:id="184"/>
    </w:p>
    <w:p w14:paraId="3353FA73" w14:textId="51578DC7" w:rsidR="00BD5168" w:rsidRDefault="00BD5168" w:rsidP="00BD5168">
      <w:pPr>
        <w:pStyle w:val="Heading2"/>
      </w:pPr>
      <w:bookmarkStart w:id="185" w:name="_Toc219897200"/>
      <w:r>
        <w:t xml:space="preserve">To authenticate each request from a person that seeks to access the FSM </w:t>
      </w:r>
      <w:r w:rsidR="004426A5">
        <w:t>UIT</w:t>
      </w:r>
      <w:r>
        <w:t xml:space="preserve"> Environment or FSM Migration Environment, the DCC shall use the DCC Identity Provider Service (as defined in Clauses 12.7 and 12.8). Upon successful authentication, the DCC shall store a secure cookie in the User Personnel’s browser. Such secure cookie shall be set to expire 8.5 hours after initial authentication.</w:t>
      </w:r>
      <w:bookmarkEnd w:id="185"/>
    </w:p>
    <w:p w14:paraId="37BBEAEA" w14:textId="77777777" w:rsidR="00BD5168" w:rsidRDefault="00BD5168" w:rsidP="00BD5168">
      <w:pPr>
        <w:pStyle w:val="Heading2"/>
      </w:pPr>
      <w:bookmarkStart w:id="186" w:name="_Toc219897201"/>
      <w:r>
        <w:t>If this non-expired cookie exists during subsequent authentication, the DCC shall bypass authentication.</w:t>
      </w:r>
      <w:bookmarkEnd w:id="186"/>
      <w:r>
        <w:t xml:space="preserve"> </w:t>
      </w:r>
    </w:p>
    <w:p w14:paraId="3F2FE461" w14:textId="77777777" w:rsidR="00BD5168" w:rsidRPr="00423B1D" w:rsidRDefault="00BD5168" w:rsidP="00BD5168">
      <w:pPr>
        <w:pStyle w:val="Body2"/>
        <w:ind w:left="720"/>
        <w:rPr>
          <w:b/>
          <w:bCs/>
        </w:rPr>
      </w:pPr>
      <w:r w:rsidRPr="00423B1D">
        <w:rPr>
          <w:b/>
          <w:bCs/>
        </w:rPr>
        <w:t>Authentication via the DCC Identity Provider Service</w:t>
      </w:r>
    </w:p>
    <w:p w14:paraId="2B59411F" w14:textId="46BB65C1" w:rsidR="00BD5168" w:rsidRDefault="00BD5168" w:rsidP="00BD5168">
      <w:pPr>
        <w:pStyle w:val="Heading2"/>
      </w:pPr>
      <w:bookmarkStart w:id="187" w:name="_Toc219897202"/>
      <w:r>
        <w:t xml:space="preserve">Where a person attempts to access the FSM </w:t>
      </w:r>
      <w:r w:rsidR="004426A5">
        <w:t>UIT</w:t>
      </w:r>
      <w:r>
        <w:t xml:space="preserve"> Environment or FSM Migration Environment and a non-expired cookie is not stored in the User Personnel’s browser cookie store:</w:t>
      </w:r>
      <w:bookmarkEnd w:id="187"/>
    </w:p>
    <w:p w14:paraId="1A23FA9C" w14:textId="77777777" w:rsidR="00BD5168" w:rsidRDefault="00BD5168" w:rsidP="0087541E">
      <w:pPr>
        <w:pStyle w:val="Heading3"/>
        <w:numPr>
          <w:ilvl w:val="2"/>
          <w:numId w:val="49"/>
        </w:numPr>
        <w:tabs>
          <w:tab w:val="clear" w:pos="1418"/>
          <w:tab w:val="num" w:pos="360"/>
        </w:tabs>
        <w:ind w:left="1224" w:hanging="504"/>
      </w:pPr>
      <w:bookmarkStart w:id="188" w:name="_Toc219897203"/>
      <w:r>
        <w:t xml:space="preserve">The DCC shall redirect the person to the DCC Identity Provider Service via the person’s </w:t>
      </w:r>
      <w:proofErr w:type="gramStart"/>
      <w:r>
        <w:t>browser;</w:t>
      </w:r>
      <w:bookmarkEnd w:id="188"/>
      <w:proofErr w:type="gramEnd"/>
    </w:p>
    <w:p w14:paraId="7151FCEC" w14:textId="77777777" w:rsidR="00BD5168" w:rsidRDefault="00BD5168" w:rsidP="0087541E">
      <w:pPr>
        <w:pStyle w:val="Heading3"/>
        <w:numPr>
          <w:ilvl w:val="2"/>
          <w:numId w:val="49"/>
        </w:numPr>
        <w:tabs>
          <w:tab w:val="clear" w:pos="1418"/>
          <w:tab w:val="num" w:pos="360"/>
        </w:tabs>
        <w:ind w:left="1224" w:hanging="504"/>
      </w:pPr>
      <w:bookmarkStart w:id="189" w:name="_Toc219897204"/>
      <w:r>
        <w:t>When requested, the person shall provide the requested credentials (username, password, and multi-factor authentication confirmation) to the DCC Identity Provider Service, in accordance with Clauses 12.4 to 12.6; and</w:t>
      </w:r>
      <w:bookmarkEnd w:id="189"/>
    </w:p>
    <w:p w14:paraId="7160EA29" w14:textId="77777777" w:rsidR="00BD5168" w:rsidRDefault="00BD5168" w:rsidP="00BD5168">
      <w:pPr>
        <w:pStyle w:val="Heading3"/>
      </w:pPr>
      <w:bookmarkStart w:id="190" w:name="_Toc219897205"/>
      <w:r>
        <w:t>As set out in Clauses 12.4 to 12.6, the DCC shall grant or deny that person’s access to the FSM Platform by providing a cookie enabling such access to be stored in the User Personnel’s browser cookie store. If access is denied, the DCC shall provide a browser message which requests that the User Personnel resubmits their credentials.</w:t>
      </w:r>
      <w:bookmarkEnd w:id="190"/>
    </w:p>
    <w:p w14:paraId="2E040D9F" w14:textId="77777777" w:rsidR="00BD5168" w:rsidRDefault="00BD5168" w:rsidP="00BD5168">
      <w:pPr>
        <w:pStyle w:val="Heading2"/>
      </w:pPr>
      <w:bookmarkStart w:id="191" w:name="_Toc219897206"/>
      <w:r>
        <w:t>The DCC Identity Provider Service shall be configured in such a way that on the first authentication against an SSI Account, the person authenticating must successfully complete the following steps:</w:t>
      </w:r>
      <w:bookmarkEnd w:id="191"/>
    </w:p>
    <w:p w14:paraId="6C8B67CC" w14:textId="77777777" w:rsidR="00BD5168" w:rsidRDefault="00BD5168" w:rsidP="0087541E">
      <w:pPr>
        <w:pStyle w:val="Heading3"/>
        <w:numPr>
          <w:ilvl w:val="2"/>
          <w:numId w:val="50"/>
        </w:numPr>
        <w:tabs>
          <w:tab w:val="clear" w:pos="1418"/>
          <w:tab w:val="num" w:pos="360"/>
        </w:tabs>
        <w:ind w:left="1224" w:hanging="504"/>
      </w:pPr>
      <w:bookmarkStart w:id="192" w:name="_Toc219897207"/>
      <w:r>
        <w:t xml:space="preserve">authenticate using their assigned SSI Account username and initial </w:t>
      </w:r>
      <w:proofErr w:type="gramStart"/>
      <w:r>
        <w:t>password;</w:t>
      </w:r>
      <w:bookmarkEnd w:id="192"/>
      <w:proofErr w:type="gramEnd"/>
    </w:p>
    <w:p w14:paraId="3B19F18C" w14:textId="77777777" w:rsidR="00BD5168" w:rsidRDefault="00BD5168" w:rsidP="0087541E">
      <w:pPr>
        <w:pStyle w:val="Heading3"/>
        <w:numPr>
          <w:ilvl w:val="2"/>
          <w:numId w:val="50"/>
        </w:numPr>
        <w:tabs>
          <w:tab w:val="clear" w:pos="1418"/>
          <w:tab w:val="num" w:pos="360"/>
        </w:tabs>
        <w:ind w:left="1224" w:hanging="504"/>
      </w:pPr>
      <w:bookmarkStart w:id="193" w:name="_Toc219897208"/>
      <w:r>
        <w:lastRenderedPageBreak/>
        <w:t>provide a new password, which will replace the temporary password; and</w:t>
      </w:r>
      <w:bookmarkEnd w:id="193"/>
    </w:p>
    <w:p w14:paraId="6D546C30" w14:textId="77777777" w:rsidR="00BD5168" w:rsidRDefault="00BD5168" w:rsidP="0087541E">
      <w:pPr>
        <w:pStyle w:val="Heading3"/>
        <w:numPr>
          <w:ilvl w:val="2"/>
          <w:numId w:val="50"/>
        </w:numPr>
        <w:tabs>
          <w:tab w:val="clear" w:pos="1418"/>
          <w:tab w:val="num" w:pos="360"/>
        </w:tabs>
        <w:ind w:left="1224" w:hanging="504"/>
      </w:pPr>
      <w:bookmarkStart w:id="194" w:name="_Toc219897209"/>
      <w:r>
        <w:t>register a multi-factor authentication option for the SSI account, in compliance with the DCC Internet Access Policy</w:t>
      </w:r>
      <w:bookmarkEnd w:id="194"/>
    </w:p>
    <w:p w14:paraId="5AC74F98" w14:textId="77777777" w:rsidR="00BD5168" w:rsidRDefault="00BD5168" w:rsidP="00BD5168">
      <w:pPr>
        <w:pStyle w:val="Heading2"/>
        <w:numPr>
          <w:ilvl w:val="0"/>
          <w:numId w:val="0"/>
        </w:numPr>
        <w:ind w:left="709"/>
      </w:pPr>
      <w:bookmarkStart w:id="195" w:name="_Toc219897210"/>
      <w:r>
        <w:t>A person shall not be authenticated to the FSM Platform until they have completed this process.</w:t>
      </w:r>
      <w:bookmarkEnd w:id="195"/>
    </w:p>
    <w:p w14:paraId="2B455243" w14:textId="77777777" w:rsidR="00BD5168" w:rsidRPr="00E80EB9" w:rsidRDefault="00BD5168" w:rsidP="00BD5168">
      <w:pPr>
        <w:pStyle w:val="Body2"/>
        <w:ind w:left="720"/>
        <w:rPr>
          <w:b/>
          <w:bCs/>
        </w:rPr>
      </w:pPr>
      <w:r w:rsidRPr="00E80EB9">
        <w:rPr>
          <w:b/>
          <w:bCs/>
        </w:rPr>
        <w:t>User administration and SSI Accounts</w:t>
      </w:r>
    </w:p>
    <w:p w14:paraId="1D71983A" w14:textId="77777777" w:rsidR="00BD5168" w:rsidRDefault="00BD5168" w:rsidP="00BD5168">
      <w:pPr>
        <w:pStyle w:val="Heading2"/>
      </w:pPr>
      <w:bookmarkStart w:id="196" w:name="_Toc219897211"/>
      <w:r w:rsidRPr="00460CF7">
        <w:t>Each member of</w:t>
      </w:r>
      <w:r>
        <w:t xml:space="preserve"> User Personnel requiring access to the FSM UIT Environment or FSM Migration Environment shall require a unique personal SSI Account, which is used to: (a) identify the individual within the SSI; (b) enable login authentication; and (c) allow management of access to specific functional components and information, within the FSM Platform.</w:t>
      </w:r>
      <w:bookmarkEnd w:id="196"/>
    </w:p>
    <w:p w14:paraId="29E9B247" w14:textId="77777777" w:rsidR="00BD5168" w:rsidRPr="00E80EB9" w:rsidRDefault="00BD5168" w:rsidP="00BD5168">
      <w:pPr>
        <w:pStyle w:val="Heading2"/>
        <w:numPr>
          <w:ilvl w:val="0"/>
          <w:numId w:val="0"/>
        </w:numPr>
        <w:ind w:left="709"/>
        <w:rPr>
          <w:b/>
          <w:bCs w:val="0"/>
        </w:rPr>
      </w:pPr>
      <w:bookmarkStart w:id="197" w:name="_Toc219897212"/>
      <w:r w:rsidRPr="00E80EB9">
        <w:rPr>
          <w:b/>
          <w:bCs w:val="0"/>
        </w:rPr>
        <w:t>SSI Account Management (creation, updates and retirement)</w:t>
      </w:r>
      <w:bookmarkEnd w:id="197"/>
    </w:p>
    <w:p w14:paraId="05691308" w14:textId="77777777" w:rsidR="00BD5168" w:rsidRDefault="00BD5168" w:rsidP="00BD5168">
      <w:pPr>
        <w:pStyle w:val="Heading2"/>
      </w:pPr>
      <w:bookmarkStart w:id="198" w:name="_Toc219897213"/>
      <w:r>
        <w:t>SSI Accounts shall be managed by Administration Users via the Self-Service Interface in conformance with the SSI Functions and Roles Policy.</w:t>
      </w:r>
      <w:bookmarkEnd w:id="198"/>
    </w:p>
    <w:p w14:paraId="2B0BC717" w14:textId="77777777" w:rsidR="00BD5168" w:rsidRDefault="00BD5168" w:rsidP="00BD5168">
      <w:pPr>
        <w:pStyle w:val="Heading2"/>
      </w:pPr>
      <w:bookmarkStart w:id="199" w:name="_Toc219897214"/>
      <w:r>
        <w:t>In exceptional cases, including but not limited to (a) the creation of the first SSI Account for a User, and (b) the assignment of Job Type Roles with specific security implications, an SSI Account may be managed by the DCC on behalf of a User, in accordance with the SSI Functions and Roles Policy.</w:t>
      </w:r>
      <w:bookmarkEnd w:id="199"/>
    </w:p>
    <w:p w14:paraId="7DE18522" w14:textId="77777777" w:rsidR="00BD5168" w:rsidRDefault="00BD5168" w:rsidP="00BD5168">
      <w:pPr>
        <w:pStyle w:val="Heading2"/>
      </w:pPr>
      <w:bookmarkStart w:id="200" w:name="_Toc219897215"/>
      <w:r>
        <w:t>When managing SSI Accounts, an Administration User shall:</w:t>
      </w:r>
      <w:bookmarkEnd w:id="200"/>
    </w:p>
    <w:p w14:paraId="4FBD6A01" w14:textId="77777777" w:rsidR="00BD5168" w:rsidRDefault="00BD5168" w:rsidP="0087541E">
      <w:pPr>
        <w:pStyle w:val="Heading3"/>
        <w:numPr>
          <w:ilvl w:val="2"/>
          <w:numId w:val="51"/>
        </w:numPr>
        <w:tabs>
          <w:tab w:val="clear" w:pos="1418"/>
          <w:tab w:val="num" w:pos="360"/>
        </w:tabs>
        <w:ind w:left="1224" w:hanging="504"/>
      </w:pPr>
      <w:bookmarkStart w:id="201" w:name="_Toc219897216"/>
      <w:r>
        <w:t xml:space="preserve">Only create and assign SSI Accounts to named individuals within their organisation on a one-to-one basis, i.e. an SSI Account may only be used by one individual, and </w:t>
      </w:r>
      <w:proofErr w:type="gramStart"/>
      <w:r>
        <w:t>each individual</w:t>
      </w:r>
      <w:proofErr w:type="gramEnd"/>
      <w:r>
        <w:t xml:space="preserve"> may only have one account assigned to them.</w:t>
      </w:r>
      <w:bookmarkEnd w:id="201"/>
    </w:p>
    <w:p w14:paraId="30987D8F" w14:textId="77777777" w:rsidR="00BD5168" w:rsidRDefault="00BD5168" w:rsidP="0087541E">
      <w:pPr>
        <w:pStyle w:val="Heading3"/>
        <w:numPr>
          <w:ilvl w:val="2"/>
          <w:numId w:val="51"/>
        </w:numPr>
        <w:tabs>
          <w:tab w:val="clear" w:pos="1418"/>
          <w:tab w:val="num" w:pos="360"/>
        </w:tabs>
        <w:ind w:left="1224" w:hanging="504"/>
      </w:pPr>
      <w:bookmarkStart w:id="202" w:name="_Toc219897217"/>
      <w:r>
        <w:t xml:space="preserve">Ensure that </w:t>
      </w:r>
      <w:proofErr w:type="gramStart"/>
      <w:r>
        <w:t>each individual</w:t>
      </w:r>
      <w:proofErr w:type="gramEnd"/>
      <w:r>
        <w:t xml:space="preserve"> is explicitly and correctly identified within the respective SSI Account configuration, including their name and email address.</w:t>
      </w:r>
      <w:bookmarkEnd w:id="202"/>
    </w:p>
    <w:p w14:paraId="65159E94" w14:textId="77777777" w:rsidR="00BD5168" w:rsidRDefault="00BD5168" w:rsidP="0087541E">
      <w:pPr>
        <w:pStyle w:val="Heading3"/>
        <w:numPr>
          <w:ilvl w:val="2"/>
          <w:numId w:val="51"/>
        </w:numPr>
        <w:tabs>
          <w:tab w:val="clear" w:pos="1418"/>
          <w:tab w:val="num" w:pos="360"/>
        </w:tabs>
        <w:ind w:left="1224" w:hanging="504"/>
      </w:pPr>
      <w:bookmarkStart w:id="203" w:name="_Toc219897218"/>
      <w:r>
        <w:t>Ensure that SSI Account details are maintained and up to date, e.g. for changes in name or contact details.</w:t>
      </w:r>
      <w:bookmarkEnd w:id="203"/>
    </w:p>
    <w:p w14:paraId="0971867C" w14:textId="77777777" w:rsidR="00BD5168" w:rsidRDefault="00BD5168" w:rsidP="0087541E">
      <w:pPr>
        <w:pStyle w:val="Heading3"/>
        <w:numPr>
          <w:ilvl w:val="2"/>
          <w:numId w:val="51"/>
        </w:numPr>
        <w:tabs>
          <w:tab w:val="clear" w:pos="1418"/>
          <w:tab w:val="num" w:pos="360"/>
        </w:tabs>
        <w:ind w:left="1224" w:hanging="504"/>
      </w:pPr>
      <w:bookmarkStart w:id="204" w:name="_Toc219897219"/>
      <w:r>
        <w:t xml:space="preserve">Ensure that all applicable SSI Accounts are retired in a timely fashion, where the </w:t>
      </w:r>
      <w:r>
        <w:lastRenderedPageBreak/>
        <w:t>respective individual ceases to act in a role for which they require an SSI Account.</w:t>
      </w:r>
      <w:bookmarkEnd w:id="204"/>
    </w:p>
    <w:p w14:paraId="6340FA0B" w14:textId="77777777" w:rsidR="00BD5168" w:rsidRPr="001D0420" w:rsidRDefault="00BD5168" w:rsidP="00BD5168">
      <w:pPr>
        <w:pStyle w:val="Body2"/>
        <w:ind w:left="720"/>
        <w:rPr>
          <w:b/>
          <w:bCs/>
        </w:rPr>
      </w:pPr>
      <w:r w:rsidRPr="001D0420">
        <w:rPr>
          <w:b/>
          <w:bCs/>
        </w:rPr>
        <w:t>Assignment of User IDs to SSI Accounts</w:t>
      </w:r>
    </w:p>
    <w:p w14:paraId="4EC55E46" w14:textId="77777777" w:rsidR="00BD5168" w:rsidRPr="004F1308" w:rsidRDefault="00BD5168" w:rsidP="00BD5168">
      <w:pPr>
        <w:pStyle w:val="Heading2"/>
      </w:pPr>
      <w:bookmarkStart w:id="205" w:name="_Toc219897220"/>
      <w:r>
        <w:t xml:space="preserve">An Administration User may assign one or more User IDs to each SSI Account associated with that User, </w:t>
      </w:r>
      <w:proofErr w:type="gramStart"/>
      <w:r>
        <w:t>provided that</w:t>
      </w:r>
      <w:proofErr w:type="gramEnd"/>
      <w:r>
        <w:t xml:space="preserve"> they are an Administration User for those User IDs.</w:t>
      </w:r>
      <w:bookmarkEnd w:id="205"/>
    </w:p>
    <w:p w14:paraId="04BE7AF3" w14:textId="77777777" w:rsidR="00BD5168" w:rsidRPr="001D0420" w:rsidRDefault="00BD5168" w:rsidP="00BD5168">
      <w:pPr>
        <w:pStyle w:val="Heading2"/>
        <w:numPr>
          <w:ilvl w:val="0"/>
          <w:numId w:val="0"/>
        </w:numPr>
        <w:ind w:left="709"/>
        <w:rPr>
          <w:b/>
          <w:bCs w:val="0"/>
        </w:rPr>
      </w:pPr>
      <w:bookmarkStart w:id="206" w:name="_Toc219897221"/>
      <w:r w:rsidRPr="001D0420">
        <w:rPr>
          <w:b/>
          <w:bCs w:val="0"/>
        </w:rPr>
        <w:t>Assignment of Job Type Roles to SSI Accounts</w:t>
      </w:r>
      <w:bookmarkEnd w:id="206"/>
    </w:p>
    <w:p w14:paraId="1A7F75C0" w14:textId="77777777" w:rsidR="00BD5168" w:rsidRDefault="00BD5168" w:rsidP="00BD5168">
      <w:pPr>
        <w:pStyle w:val="Heading2"/>
      </w:pPr>
      <w:bookmarkStart w:id="207" w:name="_Toc219897222"/>
      <w:r>
        <w:t>An Administration User may assign one or more Job Type Roles, in relation to one or more User IDs, to individual SSI Accounts via the SSI user administration function. Allowable Job Type Roles shall be limited by the SSI to those roles which are appropriate/permissible to the User according to their User Roles, as detailed in SSI Functions and Roles Policy. An Administration User may assign any of these allowable Job Type Roles to one or many SSI Accounts, at their discretion.</w:t>
      </w:r>
      <w:bookmarkEnd w:id="207"/>
    </w:p>
    <w:p w14:paraId="26D50671" w14:textId="77777777" w:rsidR="00BD5168" w:rsidRDefault="00BD5168" w:rsidP="00BD5168">
      <w:pPr>
        <w:pStyle w:val="Heading2"/>
      </w:pPr>
      <w:bookmarkStart w:id="208" w:name="_Toc219897223"/>
      <w:r>
        <w:t>The DCC shall not be required to oversee the assignment of such Job Type Roles – it shall be the responsibility of the User only.</w:t>
      </w:r>
      <w:bookmarkEnd w:id="208"/>
    </w:p>
    <w:p w14:paraId="5564DFA9" w14:textId="77777777" w:rsidR="00BD5168" w:rsidRDefault="00BD5168" w:rsidP="00BD5168">
      <w:pPr>
        <w:pStyle w:val="Heading2"/>
      </w:pPr>
      <w:bookmarkStart w:id="209" w:name="_Toc219897224"/>
      <w:r>
        <w:t>Selected Job Type Roles, which are identified as such in the SSI Functions and Roles Policy (for example those enabling elevated privileges or entitlements within the SSI and/or the SEC more broadly), may only be assigned to SSI Accounts by the DCC. For these Job Type Roles only, Administration Users may raise an SMSR to request that the DCC assigns these Job Type Roles to nominated User Personnel (SSI Accounts), provided that the requester also has a Job Type Role which is defined as entitled to nominate the requested role, as also defined in the SSI Functions and Roles Policy.</w:t>
      </w:r>
      <w:bookmarkEnd w:id="209"/>
    </w:p>
    <w:p w14:paraId="19E54298" w14:textId="77777777" w:rsidR="00BD5168" w:rsidRDefault="00BD5168" w:rsidP="00BD5168">
      <w:pPr>
        <w:pStyle w:val="Heading2"/>
      </w:pPr>
      <w:bookmarkStart w:id="210" w:name="_Toc219897225"/>
      <w:r>
        <w:t>Upon receiving such a nomination, the DCC shall confirm that the requester is entitled to make such a nomination and perform any additional validation that is required, both in accordance with the SSI Functions and Roles Policy.</w:t>
      </w:r>
      <w:bookmarkEnd w:id="210"/>
    </w:p>
    <w:p w14:paraId="0B387FCA" w14:textId="77777777" w:rsidR="00BD5168" w:rsidRDefault="00BD5168" w:rsidP="00BD5168">
      <w:pPr>
        <w:pStyle w:val="Heading2"/>
      </w:pPr>
      <w:bookmarkStart w:id="211" w:name="_Toc219897226"/>
      <w:r>
        <w:t xml:space="preserve">If the validation is successful, the DCC shall make the assignment of the nominated Job Type Role to the nominated SSI Account and shall confirm this assignment to the requester via the SMSR response. The DCC shall also notify the nominated individual of their assignment, which shall take effect either immediately or upon the next occasion that the individual authenticates with the DCC Identity Provider Service </w:t>
      </w:r>
      <w:r>
        <w:lastRenderedPageBreak/>
        <w:t>(typically the following day).</w:t>
      </w:r>
      <w:bookmarkEnd w:id="211"/>
    </w:p>
    <w:p w14:paraId="118B0F33" w14:textId="77777777" w:rsidR="00BD5168" w:rsidRDefault="00BD5168" w:rsidP="00BD5168">
      <w:pPr>
        <w:pStyle w:val="Heading2"/>
      </w:pPr>
      <w:bookmarkStart w:id="212" w:name="_Toc219897227"/>
      <w:r>
        <w:t>If the validation is unsuccessful, the DCC shall notify the requester of the reason for failure via the SMSR response.</w:t>
      </w:r>
      <w:bookmarkEnd w:id="212"/>
    </w:p>
    <w:p w14:paraId="1ED2CE74" w14:textId="77777777" w:rsidR="00BD5168" w:rsidRPr="00C85519" w:rsidRDefault="00BD5168" w:rsidP="00BD5168">
      <w:pPr>
        <w:pStyle w:val="Body2"/>
        <w:ind w:left="720"/>
        <w:rPr>
          <w:b/>
          <w:bCs/>
        </w:rPr>
      </w:pPr>
      <w:r w:rsidRPr="00C85519">
        <w:rPr>
          <w:b/>
          <w:bCs/>
        </w:rPr>
        <w:t>DCC defined access</w:t>
      </w:r>
    </w:p>
    <w:p w14:paraId="1846F117" w14:textId="77777777" w:rsidR="00BD5168" w:rsidRDefault="00BD5168" w:rsidP="00BD5168">
      <w:pPr>
        <w:pStyle w:val="Heading2"/>
      </w:pPr>
      <w:bookmarkStart w:id="213" w:name="_Toc219897228"/>
      <w:r w:rsidRPr="00460CF7">
        <w:t>The DCC shall provide to User Personnel of each User access to each Functional Component that the User is eligible to access as set out in Section H8.16 and that is assigned to their respective SSI Account in conformance with the SSI Function and Roles Policy.</w:t>
      </w:r>
      <w:bookmarkEnd w:id="213"/>
    </w:p>
    <w:p w14:paraId="73E1D8B3" w14:textId="77777777" w:rsidR="00DB2EE6" w:rsidRPr="00DB2EE6" w:rsidRDefault="00DB2EE6" w:rsidP="00DB2EE6">
      <w:pPr>
        <w:pStyle w:val="Heading1"/>
      </w:pPr>
      <w:bookmarkStart w:id="214" w:name="_Toc219897229"/>
      <w:bookmarkStart w:id="215" w:name="_Toc219900431"/>
      <w:r w:rsidRPr="00DB2EE6">
        <w:t>Application of Section H15, Section E3 and Appendix G of the Code in respect of Legacy Gateway Connections</w:t>
      </w:r>
      <w:bookmarkEnd w:id="214"/>
      <w:bookmarkEnd w:id="215"/>
    </w:p>
    <w:p w14:paraId="3A43392C" w14:textId="77777777" w:rsidR="00DB2EE6" w:rsidRPr="00C3698C" w:rsidRDefault="00DB2EE6" w:rsidP="00C3698C">
      <w:pPr>
        <w:pStyle w:val="Heading2"/>
      </w:pPr>
      <w:bookmarkStart w:id="216" w:name="_Toc219897230"/>
      <w:r w:rsidRPr="00C3698C">
        <w:t>Subject to Clause 13.2, the provisions of Section H15, Section E3 and Appendix G (DCC Gateway Connection Code of Connection) shall continue to apply in relation to Legacy Gateway Connections, but they shall not apply in relation to DCC Connect Gateway Connections.</w:t>
      </w:r>
      <w:bookmarkEnd w:id="216"/>
    </w:p>
    <w:p w14:paraId="3FF5276C" w14:textId="77777777" w:rsidR="00DB2EE6" w:rsidRPr="00C3698C" w:rsidRDefault="00DB2EE6" w:rsidP="00C3698C">
      <w:pPr>
        <w:pStyle w:val="Heading2"/>
      </w:pPr>
      <w:bookmarkStart w:id="217" w:name="_Toc219897231"/>
      <w:r w:rsidRPr="00C3698C">
        <w:t>Sections H15.4 to H15.5 and E3.1 shall no longer apply (and hence Parties and Registration Data Providers may no longer apply for a Legacy Gateway Connection) and instead Clause 14.1 shall apply to Parties or Registration Data Providers seeking a new DCC Gateway Connection.</w:t>
      </w:r>
      <w:bookmarkEnd w:id="217"/>
    </w:p>
    <w:p w14:paraId="3AF63D4A" w14:textId="77777777" w:rsidR="00DB2EE6" w:rsidRPr="00C3698C" w:rsidRDefault="00DB2EE6" w:rsidP="00C3698C">
      <w:pPr>
        <w:pStyle w:val="Heading2"/>
      </w:pPr>
      <w:bookmarkStart w:id="218" w:name="_Toc219897232"/>
      <w:r w:rsidRPr="00C3698C">
        <w:t>Where a DCC Gateway Party has made a request for a new Legacy Gateway Connection and the Legacy Gateway Connection has not yet been installed, the DCC Gateway Party shall indicate to the DCC whether it wishes to proceed with the request for its Legacy Gateway Connection or if it wishes to proceed with a request for a DCC Connect Gateway Connection (in which case the provisions of Clause 14 shall apply). Where the DCC Gateway Party wishes to proceed with a Legacy Gateway Connection, following installation of that Legacy Gateway Connection it shall be subject to the provisions of Clause 15.</w:t>
      </w:r>
      <w:bookmarkEnd w:id="218"/>
    </w:p>
    <w:p w14:paraId="139A1EAC" w14:textId="77777777" w:rsidR="00DB2EE6" w:rsidRPr="00DB2EE6" w:rsidRDefault="00DB2EE6" w:rsidP="00DB2EE6">
      <w:pPr>
        <w:pStyle w:val="Heading1"/>
      </w:pPr>
      <w:bookmarkStart w:id="219" w:name="_Toc219897233"/>
      <w:bookmarkStart w:id="220" w:name="_Toc219900432"/>
      <w:r w:rsidRPr="00DB2EE6">
        <w:t>Application of Annexes 1-5 of this NETMAD in respect of DCC Connect Gateway Connections</w:t>
      </w:r>
      <w:bookmarkEnd w:id="219"/>
      <w:bookmarkEnd w:id="220"/>
    </w:p>
    <w:p w14:paraId="1A975759" w14:textId="44C3717D" w:rsidR="00DB2EE6" w:rsidRPr="00C3698C" w:rsidRDefault="00DB2EE6" w:rsidP="00C3698C">
      <w:pPr>
        <w:pStyle w:val="Heading2"/>
      </w:pPr>
      <w:bookmarkStart w:id="221" w:name="_Toc219897234"/>
      <w:r w:rsidRPr="00C3698C">
        <w:t xml:space="preserve">This </w:t>
      </w:r>
      <w:r w:rsidR="003F29D6">
        <w:t>Clause</w:t>
      </w:r>
      <w:r w:rsidR="003F29D6" w:rsidRPr="00C3698C">
        <w:t xml:space="preserve"> </w:t>
      </w:r>
      <w:r w:rsidRPr="00C3698C">
        <w:t>14 applies in relation to:</w:t>
      </w:r>
      <w:bookmarkEnd w:id="221"/>
    </w:p>
    <w:p w14:paraId="3AFEA0EA" w14:textId="77777777" w:rsidR="00DB2EE6" w:rsidRPr="006533EE" w:rsidRDefault="00DB2EE6" w:rsidP="0087541E">
      <w:pPr>
        <w:pStyle w:val="Heading3"/>
        <w:numPr>
          <w:ilvl w:val="2"/>
          <w:numId w:val="55"/>
        </w:numPr>
        <w:tabs>
          <w:tab w:val="clear" w:pos="1418"/>
        </w:tabs>
      </w:pPr>
      <w:bookmarkStart w:id="222" w:name="_Toc219897235"/>
      <w:r w:rsidRPr="00782EDD">
        <w:lastRenderedPageBreak/>
        <w:t xml:space="preserve">Any DCC Connect Gateway Connection that has not replaced a Legacy Gateway Connection or any </w:t>
      </w:r>
      <w:r>
        <w:t xml:space="preserve">request </w:t>
      </w:r>
      <w:r w:rsidRPr="00782EDD">
        <w:t>for a DCC Connect Gateway Connection</w:t>
      </w:r>
      <w:r>
        <w:t xml:space="preserve"> that is not replacing a Legacy Gateway Connection</w:t>
      </w:r>
      <w:r w:rsidRPr="00782EDD">
        <w:t>; and</w:t>
      </w:r>
      <w:bookmarkEnd w:id="222"/>
    </w:p>
    <w:p w14:paraId="556FF198" w14:textId="18E599DC" w:rsidR="00DB2EE6" w:rsidRPr="006533EE" w:rsidRDefault="00DB2EE6" w:rsidP="0087541E">
      <w:pPr>
        <w:pStyle w:val="Heading3"/>
        <w:numPr>
          <w:ilvl w:val="2"/>
          <w:numId w:val="55"/>
        </w:numPr>
        <w:tabs>
          <w:tab w:val="clear" w:pos="1418"/>
          <w:tab w:val="num" w:pos="360"/>
          <w:tab w:val="num" w:pos="643"/>
        </w:tabs>
        <w:ind w:left="1224" w:hanging="504"/>
      </w:pPr>
      <w:bookmarkStart w:id="223" w:name="_Toc219897236"/>
      <w:r w:rsidRPr="00782EDD">
        <w:t>Any DCC Connect Gateway Connection that has replaced a Legacy Gateway Connection and in relation to which DCC Gateway Cut-over has been completed</w:t>
      </w:r>
      <w:r w:rsidR="007A1353">
        <w:t>, or</w:t>
      </w:r>
      <w:r w:rsidR="00A303D0">
        <w:t xml:space="preserve"> where any maintenance is required in the period between installation </w:t>
      </w:r>
      <w:r w:rsidR="009C1C81">
        <w:t xml:space="preserve">of </w:t>
      </w:r>
      <w:r w:rsidR="00A303D0">
        <w:t>the DCC Gateway Equipment and the DCC Gateway Cut-over</w:t>
      </w:r>
      <w:r w:rsidRPr="00782EDD">
        <w:t xml:space="preserve">, and in which case this </w:t>
      </w:r>
      <w:r w:rsidR="003F29D6">
        <w:t>Clause</w:t>
      </w:r>
      <w:r w:rsidR="003F29D6" w:rsidRPr="00782EDD">
        <w:t xml:space="preserve"> </w:t>
      </w:r>
      <w:r w:rsidRPr="00782EDD">
        <w:t>applies only in respect of services provided from the period after which DCC Gateway Cut-over has completed</w:t>
      </w:r>
      <w:r w:rsidR="00D43BDC" w:rsidRPr="00D43BDC">
        <w:t xml:space="preserve"> </w:t>
      </w:r>
      <w:r w:rsidR="00D43BDC">
        <w:t>or where maintenance is required prior to DCC Gateway Cut-over</w:t>
      </w:r>
      <w:r w:rsidRPr="00782EDD">
        <w:t>.</w:t>
      </w:r>
      <w:bookmarkEnd w:id="223"/>
    </w:p>
    <w:p w14:paraId="42944416" w14:textId="77777777" w:rsidR="00DB2EE6" w:rsidRPr="00C3698C" w:rsidRDefault="00DB2EE6" w:rsidP="00C3698C">
      <w:pPr>
        <w:pStyle w:val="Heading2"/>
      </w:pPr>
      <w:bookmarkStart w:id="224" w:name="_Toc219897237"/>
      <w:r w:rsidRPr="00C3698C">
        <w:t>In relation to DCC Connect Gateway Connections referred to in Clause 14.1:</w:t>
      </w:r>
      <w:bookmarkEnd w:id="224"/>
    </w:p>
    <w:p w14:paraId="4D04E119" w14:textId="77777777" w:rsidR="00DB2EE6" w:rsidRPr="006533EE" w:rsidRDefault="00DB2EE6" w:rsidP="006533EE">
      <w:pPr>
        <w:pStyle w:val="Heading3"/>
      </w:pPr>
      <w:bookmarkStart w:id="225" w:name="_Toc219897238"/>
      <w:r w:rsidRPr="006533EE">
        <w:t>Section A shall apply with additional or modified definitions as set out in Annex 1.</w:t>
      </w:r>
      <w:bookmarkEnd w:id="225"/>
    </w:p>
    <w:p w14:paraId="4F3C6581" w14:textId="77777777" w:rsidR="00DB2EE6" w:rsidRPr="006533EE" w:rsidRDefault="00DB2EE6" w:rsidP="006533EE">
      <w:pPr>
        <w:pStyle w:val="Heading3"/>
      </w:pPr>
      <w:bookmarkStart w:id="226" w:name="_Toc219897239"/>
      <w:r w:rsidRPr="006533EE">
        <w:t xml:space="preserve">Section H15 shall apply in the modified form set out in Annex </w:t>
      </w:r>
      <w:proofErr w:type="gramStart"/>
      <w:r w:rsidRPr="006533EE">
        <w:t>2;</w:t>
      </w:r>
      <w:bookmarkEnd w:id="226"/>
      <w:proofErr w:type="gramEnd"/>
    </w:p>
    <w:p w14:paraId="5B0EF581" w14:textId="77777777" w:rsidR="00DB2EE6" w:rsidRPr="006533EE" w:rsidRDefault="00DB2EE6" w:rsidP="006533EE">
      <w:pPr>
        <w:pStyle w:val="Heading3"/>
      </w:pPr>
      <w:bookmarkStart w:id="227" w:name="_Toc219897240"/>
      <w:r w:rsidRPr="006533EE">
        <w:t xml:space="preserve">Section E3 shall apply in the modified form set out in Annex </w:t>
      </w:r>
      <w:proofErr w:type="gramStart"/>
      <w:r w:rsidRPr="006533EE">
        <w:t>3;</w:t>
      </w:r>
      <w:bookmarkEnd w:id="227"/>
      <w:proofErr w:type="gramEnd"/>
    </w:p>
    <w:p w14:paraId="67ED486D" w14:textId="77777777" w:rsidR="00DB2EE6" w:rsidRPr="006533EE" w:rsidRDefault="00DB2EE6" w:rsidP="006533EE">
      <w:pPr>
        <w:pStyle w:val="Heading3"/>
      </w:pPr>
      <w:bookmarkStart w:id="228" w:name="_Toc219897241"/>
      <w:r w:rsidRPr="006533EE">
        <w:t xml:space="preserve">Appendix G (DCC Gateway Connection Code of Connection) shall apply in the modified form set out in Annex </w:t>
      </w:r>
      <w:proofErr w:type="gramStart"/>
      <w:r w:rsidRPr="006533EE">
        <w:t>4;</w:t>
      </w:r>
      <w:bookmarkEnd w:id="228"/>
      <w:proofErr w:type="gramEnd"/>
    </w:p>
    <w:p w14:paraId="15007363" w14:textId="77777777" w:rsidR="00DB2EE6" w:rsidRPr="006533EE" w:rsidRDefault="00DB2EE6" w:rsidP="006533EE">
      <w:pPr>
        <w:pStyle w:val="Heading3"/>
      </w:pPr>
      <w:bookmarkStart w:id="229" w:name="_Toc219897242"/>
      <w:r w:rsidRPr="006533EE">
        <w:t>Section K7.5 shall apply in the modified form set out in Annex 5.</w:t>
      </w:r>
      <w:bookmarkEnd w:id="229"/>
    </w:p>
    <w:p w14:paraId="4D57651F" w14:textId="77777777" w:rsidR="00DB2EE6" w:rsidRPr="00DB2EE6" w:rsidRDefault="00DB2EE6" w:rsidP="00DB2EE6">
      <w:pPr>
        <w:pStyle w:val="Heading1"/>
      </w:pPr>
      <w:bookmarkStart w:id="230" w:name="_Toc219897243"/>
      <w:bookmarkStart w:id="231" w:name="_Toc219900433"/>
      <w:r w:rsidRPr="00DB2EE6">
        <w:t>Migration from a Legacy Gateway Connection to a DCC Connect Gateway Connection</w:t>
      </w:r>
      <w:bookmarkEnd w:id="230"/>
      <w:bookmarkEnd w:id="231"/>
    </w:p>
    <w:p w14:paraId="2CCF2D08" w14:textId="5BAF46EE" w:rsidR="00DB2EE6" w:rsidRDefault="00DB2EE6" w:rsidP="00C3698C">
      <w:pPr>
        <w:pStyle w:val="Heading2"/>
      </w:pPr>
      <w:bookmarkStart w:id="232" w:name="_Toc219897244"/>
      <w:r w:rsidRPr="00C3698C">
        <w:t xml:space="preserve">This </w:t>
      </w:r>
      <w:r w:rsidR="00D43BDC">
        <w:t>Clause</w:t>
      </w:r>
      <w:r w:rsidR="00D43BDC" w:rsidRPr="00C3698C">
        <w:t xml:space="preserve"> </w:t>
      </w:r>
      <w:r w:rsidRPr="00C3698C">
        <w:t>15 sets out the provisions for the establishment of DCC Connect Gateway Connections for the purpose of replacing Legacy Gateway Connections, the associated DCC Gateway Cut-over</w:t>
      </w:r>
      <w:r w:rsidR="00E25881" w:rsidRPr="00E25881">
        <w:t>, and</w:t>
      </w:r>
      <w:r w:rsidR="00976CBA">
        <w:t xml:space="preserve"> </w:t>
      </w:r>
      <w:r w:rsidR="00E25881" w:rsidRPr="00E25881">
        <w:t>the removal of the DCC Gateway Equipment of the Legacy Gateway Connection following the DCC Gateway Cut-over</w:t>
      </w:r>
      <w:r w:rsidRPr="00C3698C">
        <w:t xml:space="preserve">. For the avoidance of doubt, this </w:t>
      </w:r>
      <w:r w:rsidR="00CF5239">
        <w:t>Clause 15</w:t>
      </w:r>
      <w:r w:rsidR="00CF5239" w:rsidRPr="00C3698C">
        <w:t xml:space="preserve"> </w:t>
      </w:r>
      <w:r w:rsidRPr="00C3698C">
        <w:t>also applies for the purpose of replacing Legacy Gateway Connections used to access the Testing Services.</w:t>
      </w:r>
      <w:bookmarkEnd w:id="232"/>
    </w:p>
    <w:p w14:paraId="5072F839" w14:textId="182A5C89" w:rsidR="00734AA5" w:rsidRPr="00734AA5" w:rsidRDefault="00653004" w:rsidP="00A42F17">
      <w:pPr>
        <w:pStyle w:val="Body2"/>
        <w:ind w:hanging="709"/>
      </w:pPr>
      <w:r>
        <w:t>15.1A</w:t>
      </w:r>
      <w:r>
        <w:tab/>
      </w:r>
      <w:r w:rsidRPr="00653004">
        <w:t>Section K7.5 in the modified form set out in Annex 5 shall also apply to this Clause 15.</w:t>
      </w:r>
    </w:p>
    <w:p w14:paraId="22FF4C6C" w14:textId="77777777" w:rsidR="00DB2EE6" w:rsidRPr="00C3698C" w:rsidRDefault="00DB2EE6" w:rsidP="00C3698C">
      <w:pPr>
        <w:pStyle w:val="Heading2"/>
      </w:pPr>
      <w:bookmarkStart w:id="233" w:name="_Toc219897245"/>
      <w:r w:rsidRPr="00C3698C">
        <w:t xml:space="preserve">Any steps carried out by the DCC or a DCC Gateway Party prior to this Clause 15 </w:t>
      </w:r>
      <w:r w:rsidRPr="00C3698C">
        <w:lastRenderedPageBreak/>
        <w:t>coming into effect that are required under this Clause 15 will be treated as if they had been undertaken pursuant to this Clause 15.</w:t>
      </w:r>
      <w:bookmarkEnd w:id="233"/>
    </w:p>
    <w:p w14:paraId="37238DC6" w14:textId="77777777" w:rsidR="00DB2EE6" w:rsidRPr="00C3698C" w:rsidRDefault="00DB2EE6" w:rsidP="00C3698C">
      <w:pPr>
        <w:pStyle w:val="Heading2"/>
      </w:pPr>
      <w:bookmarkStart w:id="234" w:name="_Toc219897246"/>
      <w:r w:rsidRPr="00C3698C">
        <w:t xml:space="preserve">Unless otherwise stated, this Clause 15 shall apply to any Registration Data Provider that has a Legacy Gateway Connection as if Registration Data Providers were Parties and DCC Gateway Parties, </w:t>
      </w:r>
      <w:proofErr w:type="gramStart"/>
      <w:r w:rsidRPr="00C3698C">
        <w:t>provided that</w:t>
      </w:r>
      <w:proofErr w:type="gramEnd"/>
      <w:r w:rsidRPr="00C3698C">
        <w:t xml:space="preserve"> Registration Data Providers are not charged for any activities associated with the provision of DCC Gateway Connections.</w:t>
      </w:r>
      <w:bookmarkEnd w:id="234"/>
    </w:p>
    <w:p w14:paraId="6A02A3CB" w14:textId="77777777" w:rsidR="00DB2EE6" w:rsidRPr="00C3698C" w:rsidRDefault="00DB2EE6" w:rsidP="00C3698C">
      <w:pPr>
        <w:pStyle w:val="Heading2"/>
      </w:pPr>
      <w:bookmarkStart w:id="235" w:name="_Toc219897247"/>
      <w:r w:rsidRPr="00C3698C">
        <w:t>Each DCC Gateway Party acknowledges the steps required in this Clause 15 and shall take all reasonable steps to undertake the activities required of it in order to effect the timely replacement of its Legacy Gateway Connection with a DCC Connect Gateway Connection and the timely DCC Gateway Cut-over to use of that DCC Connect Gateway Connection by the Legacy Gateway Connection Backstop Date.</w:t>
      </w:r>
      <w:bookmarkEnd w:id="235"/>
    </w:p>
    <w:p w14:paraId="02528BCD" w14:textId="77777777" w:rsidR="00DB2EE6" w:rsidRPr="00C3698C" w:rsidRDefault="00DB2EE6" w:rsidP="00C3698C">
      <w:pPr>
        <w:pStyle w:val="Heading2"/>
      </w:pPr>
      <w:bookmarkStart w:id="236" w:name="_Toc219897248"/>
      <w:r w:rsidRPr="00C3698C">
        <w:t>The DCC shall use the contact details provided under Clause 1.5 of Appendix G for each DCC Gateway Party for the purposes of communications under this Clause 15. It is the DCC Gateway Party’s responsibility to ensure that the DCC has the correct contact details for that DCC Gateway Party. A Party must notify the DCC of any changes to the contact details for their DCC Gateway Connection via email in which case the DCC shall then use those contact details from the date of such notification.</w:t>
      </w:r>
      <w:bookmarkEnd w:id="236"/>
    </w:p>
    <w:p w14:paraId="33C9DDE9" w14:textId="111B3F32" w:rsidR="00DB2EE6" w:rsidRPr="00C3698C" w:rsidRDefault="00DB2EE6" w:rsidP="00C3698C">
      <w:pPr>
        <w:pStyle w:val="Heading2"/>
      </w:pPr>
      <w:bookmarkStart w:id="237" w:name="_Toc219897249"/>
      <w:r w:rsidRPr="00C3698C">
        <w:t xml:space="preserve">Clauses 15.29 to 15.36 in relation to the installation of DCC Gateway Equipment apply where DCC Gateway Equipment is installed is respect of a DCC Connect Gateway Connection prior to the DCC Gateway Cut-over. </w:t>
      </w:r>
      <w:r w:rsidR="009049C0">
        <w:t>The provisions that apply o</w:t>
      </w:r>
      <w:r w:rsidRPr="00C3698C">
        <w:t>nce the DCC Gateway Cut-over has been successfully executed</w:t>
      </w:r>
      <w:r w:rsidR="001B783D">
        <w:t xml:space="preserve"> are set out in Clause 14</w:t>
      </w:r>
      <w:r w:rsidRPr="00C3698C">
        <w:t>.</w:t>
      </w:r>
      <w:bookmarkEnd w:id="237"/>
    </w:p>
    <w:p w14:paraId="62531474" w14:textId="77777777" w:rsidR="00DB2EE6" w:rsidRPr="007C73A4" w:rsidRDefault="00DB2EE6" w:rsidP="007C73A4">
      <w:pPr>
        <w:pStyle w:val="Body2"/>
        <w:ind w:left="720"/>
        <w:rPr>
          <w:b/>
          <w:bCs/>
        </w:rPr>
      </w:pPr>
      <w:r w:rsidRPr="007C73A4">
        <w:rPr>
          <w:b/>
          <w:bCs/>
        </w:rPr>
        <w:t>DCC Gateway Connection Assessments</w:t>
      </w:r>
    </w:p>
    <w:p w14:paraId="28448AB2" w14:textId="77777777" w:rsidR="00DB2EE6" w:rsidRPr="00C3698C" w:rsidRDefault="00DB2EE6" w:rsidP="00C3698C">
      <w:pPr>
        <w:pStyle w:val="Heading2"/>
      </w:pPr>
      <w:bookmarkStart w:id="238" w:name="_Toc219897250"/>
      <w:r w:rsidRPr="00C3698C">
        <w:t>The DCC shall contact each DCC Gateway Party and provide the following for the purposes of the replacement each of its Legacy Gateway Connections:</w:t>
      </w:r>
      <w:bookmarkEnd w:id="238"/>
    </w:p>
    <w:p w14:paraId="68899F5C" w14:textId="728D491A" w:rsidR="00DB2EE6" w:rsidRPr="00C863BC" w:rsidRDefault="00DB2EE6" w:rsidP="00C863BC">
      <w:pPr>
        <w:pStyle w:val="Heading3"/>
      </w:pPr>
      <w:bookmarkStart w:id="239" w:name="_Toc219897251"/>
      <w:r w:rsidRPr="00C863BC">
        <w:t>an order form, including the option for a DCC Gateway Party to request a Site-Specific Risk Assessment for DCC Gateway LV Connections or DCC Gateway HV Physical Connections only (</w:t>
      </w:r>
      <w:r w:rsidR="00E43E19" w:rsidRPr="00E43E19">
        <w:t xml:space="preserve">noting that </w:t>
      </w:r>
      <w:proofErr w:type="gramStart"/>
      <w:r w:rsidR="00E43E19" w:rsidRPr="00E43E19">
        <w:t>in the event that</w:t>
      </w:r>
      <w:proofErr w:type="gramEnd"/>
      <w:r w:rsidR="00E43E19" w:rsidRPr="00E43E19">
        <w:t xml:space="preserve"> the option is taken, charges will apply in relation to any </w:t>
      </w:r>
      <w:proofErr w:type="gramStart"/>
      <w:r w:rsidR="00E43E19" w:rsidRPr="00E43E19">
        <w:t>Site Specific</w:t>
      </w:r>
      <w:proofErr w:type="gramEnd"/>
      <w:r w:rsidR="00E43E19" w:rsidRPr="00E43E19">
        <w:t xml:space="preserve"> Risk Assessment </w:t>
      </w:r>
      <w:r w:rsidRPr="00C863BC">
        <w:t>pursuant to Clause 15.</w:t>
      </w:r>
      <w:r w:rsidR="00951F97">
        <w:t>70</w:t>
      </w:r>
      <w:r w:rsidRPr="00C863BC">
        <w:t>(c)) and</w:t>
      </w:r>
      <w:bookmarkEnd w:id="239"/>
    </w:p>
    <w:p w14:paraId="02B37E51" w14:textId="77777777" w:rsidR="00DB2EE6" w:rsidRPr="00C863BC" w:rsidRDefault="00DB2EE6" w:rsidP="00C863BC">
      <w:pPr>
        <w:pStyle w:val="Heading3"/>
      </w:pPr>
      <w:bookmarkStart w:id="240" w:name="_Toc219897252"/>
      <w:r w:rsidRPr="00C863BC">
        <w:lastRenderedPageBreak/>
        <w:t>guidance on the DCC Gateway Connection Types and DCC Gateway Connection Options available to the DCC Gateway Party.</w:t>
      </w:r>
      <w:bookmarkEnd w:id="240"/>
    </w:p>
    <w:p w14:paraId="3B01A080" w14:textId="481B9F49" w:rsidR="00DB2EE6" w:rsidRPr="00C3698C" w:rsidRDefault="00DB2EE6" w:rsidP="00C3698C">
      <w:pPr>
        <w:pStyle w:val="Heading2"/>
      </w:pPr>
      <w:bookmarkStart w:id="241" w:name="_Toc219897253"/>
      <w:r w:rsidRPr="00C3698C">
        <w:t xml:space="preserve">Following the DCC having provided the DCC Gateway Party with the order form and guidance on the </w:t>
      </w:r>
      <w:r w:rsidR="00CA704D">
        <w:t>DCC Gateway Connection O</w:t>
      </w:r>
      <w:r w:rsidRPr="00C3698C">
        <w:t>ptions available to them, the DCC Gateway Party shall, as soon as reasonably practicable, submit a completed order form to the DCC indicating the DCC Gateway Connection Type and DCC Gateway Connection Option it wishes to have in place for the purpose of replacing each of its Legacy Gateway Connections, as well as confirmation on whether or not it wants a Site-Specific Risk Assessment to be carried out.</w:t>
      </w:r>
      <w:bookmarkEnd w:id="241"/>
    </w:p>
    <w:p w14:paraId="48771562" w14:textId="77777777" w:rsidR="00DB2EE6" w:rsidRPr="00C3698C" w:rsidRDefault="00DB2EE6" w:rsidP="00C3698C">
      <w:pPr>
        <w:pStyle w:val="Heading2"/>
      </w:pPr>
      <w:bookmarkStart w:id="242" w:name="_Toc219897254"/>
      <w:r w:rsidRPr="00C3698C">
        <w:t>In respect of an individual Legacy Gateway Connection, following the DCC Gateway Party having confirmed its preferred DCC Gateway Connection Type and DCC Gateway Connection Option pursuant to Clause 15.8, the DCC shall, as soon as reasonably practicable, carry out:</w:t>
      </w:r>
      <w:bookmarkEnd w:id="242"/>
    </w:p>
    <w:p w14:paraId="1B7C3B01" w14:textId="1620C9CC" w:rsidR="00DB2EE6" w:rsidRPr="00C863BC" w:rsidRDefault="00AF0D6D" w:rsidP="00C863BC">
      <w:pPr>
        <w:pStyle w:val="Heading3"/>
      </w:pPr>
      <w:bookmarkStart w:id="243" w:name="_Toc219897255"/>
      <w:r>
        <w:t>a Remote Assessment</w:t>
      </w:r>
      <w:r w:rsidR="00DB2EE6" w:rsidRPr="00C863BC">
        <w:t xml:space="preserve"> for the DCC Gateway Party’s requested DCC Connect Gateway Connection; and</w:t>
      </w:r>
      <w:bookmarkEnd w:id="243"/>
    </w:p>
    <w:p w14:paraId="07F04625" w14:textId="77777777" w:rsidR="00DB2EE6" w:rsidRPr="00C863BC" w:rsidRDefault="00DB2EE6" w:rsidP="00C863BC">
      <w:pPr>
        <w:pStyle w:val="Heading3"/>
      </w:pPr>
      <w:bookmarkStart w:id="244" w:name="_Toc219897256"/>
      <w:r w:rsidRPr="00C863BC">
        <w:t>if requested by the DCC Gateway Party under Clause 15.8, a Site-Specific Risk Assessment which shall be shared with DCC Gateway Party prior to the installation of any DCC Gateway Equipment.</w:t>
      </w:r>
      <w:bookmarkEnd w:id="244"/>
    </w:p>
    <w:p w14:paraId="27BFB66F" w14:textId="02EA530F" w:rsidR="00DB2EE6" w:rsidRPr="00C3698C" w:rsidRDefault="00DB2EE6" w:rsidP="00C3698C">
      <w:pPr>
        <w:pStyle w:val="Heading2"/>
      </w:pPr>
      <w:bookmarkStart w:id="245" w:name="_Toc219897257"/>
      <w:r w:rsidRPr="00C3698C">
        <w:t>In the case of a request for a DCC Gateway LV Connection</w:t>
      </w:r>
      <w:r w:rsidR="00CA704D">
        <w:t>,</w:t>
      </w:r>
      <w:r w:rsidRPr="00C3698C">
        <w:t xml:space="preserve"> and </w:t>
      </w:r>
      <w:r w:rsidR="00B16EFC">
        <w:t xml:space="preserve">where </w:t>
      </w:r>
      <w:r w:rsidRPr="00C3698C">
        <w:t xml:space="preserve">the DCC's </w:t>
      </w:r>
      <w:r w:rsidR="00AF0D6D">
        <w:t>Remote Assessment</w:t>
      </w:r>
      <w:r w:rsidRPr="00C3698C">
        <w:t xml:space="preserve"> indicates that a Site Survey is not required, the DCC shall, as soon as reasonably practicable, provide an offer to the Party setting out:</w:t>
      </w:r>
      <w:bookmarkEnd w:id="245"/>
    </w:p>
    <w:p w14:paraId="00C6949F" w14:textId="77777777" w:rsidR="00DB2EE6" w:rsidRPr="00C863BC" w:rsidRDefault="00DB2EE6" w:rsidP="00C863BC">
      <w:pPr>
        <w:pStyle w:val="Heading3"/>
      </w:pPr>
      <w:bookmarkStart w:id="246" w:name="_Toc219897258"/>
      <w:r w:rsidRPr="00C863BC">
        <w:t xml:space="preserve">the DCC's reasonable estimate of the likely bandwidth of the connection once </w:t>
      </w:r>
      <w:proofErr w:type="gramStart"/>
      <w:r w:rsidRPr="00C863BC">
        <w:t>made;</w:t>
      </w:r>
      <w:bookmarkEnd w:id="246"/>
      <w:proofErr w:type="gramEnd"/>
    </w:p>
    <w:p w14:paraId="5D405880" w14:textId="77777777" w:rsidR="00DB2EE6" w:rsidRPr="00C863BC" w:rsidRDefault="00DB2EE6" w:rsidP="00C863BC">
      <w:pPr>
        <w:pStyle w:val="Heading3"/>
      </w:pPr>
      <w:bookmarkStart w:id="247" w:name="_Toc219897259"/>
      <w:r w:rsidRPr="00C863BC">
        <w:t>the date on which the DCC will install the following equipment, subject to the approval of the Site-Specific Design prior to the installation of the Overlay (SD-WAN) pursuant to Clause 15.27 (and where the approval is not acquired prior to the planned installation of the Overlay (SD-WAN), the DCC shall take all reasonable steps to minimise the length of the subsequent delay to the provision of the Underlay (Circuit)):</w:t>
      </w:r>
      <w:bookmarkEnd w:id="247"/>
    </w:p>
    <w:p w14:paraId="088FFDF2" w14:textId="77777777" w:rsidR="00DB2EE6" w:rsidRPr="008812C9" w:rsidRDefault="00DB2EE6" w:rsidP="0087541E">
      <w:pPr>
        <w:pStyle w:val="Heading4"/>
        <w:numPr>
          <w:ilvl w:val="3"/>
          <w:numId w:val="56"/>
        </w:numPr>
      </w:pPr>
      <w:r w:rsidRPr="008812C9">
        <w:lastRenderedPageBreak/>
        <w:t>Underlay (Circuit), which shall be no more than 90 calendar days following the date by which the offer is to be accepted); and</w:t>
      </w:r>
    </w:p>
    <w:p w14:paraId="170DEAE2" w14:textId="77777777" w:rsidR="00DB2EE6" w:rsidRPr="008812C9" w:rsidRDefault="00DB2EE6" w:rsidP="0087541E">
      <w:pPr>
        <w:pStyle w:val="Heading4"/>
        <w:numPr>
          <w:ilvl w:val="3"/>
          <w:numId w:val="56"/>
        </w:numPr>
      </w:pPr>
      <w:r w:rsidRPr="008812C9">
        <w:t>the Overlay (SD-WAN), which shall be no more than 14 calendar days after the date given for the installation of the Underlay (Circuit</w:t>
      </w:r>
      <w:proofErr w:type="gramStart"/>
      <w:r w:rsidRPr="008812C9">
        <w:t>);</w:t>
      </w:r>
      <w:proofErr w:type="gramEnd"/>
      <w:r w:rsidRPr="008812C9">
        <w:t xml:space="preserve"> </w:t>
      </w:r>
    </w:p>
    <w:p w14:paraId="0BF89BE6" w14:textId="77777777" w:rsidR="00DB2EE6" w:rsidRPr="00C863BC" w:rsidRDefault="00DB2EE6" w:rsidP="00C863BC">
      <w:pPr>
        <w:pStyle w:val="Heading3"/>
      </w:pPr>
      <w:bookmarkStart w:id="248" w:name="_Toc219897260"/>
      <w:r w:rsidRPr="00C863BC">
        <w:t>the connection Charges and annual Charges that will apply in respect of the connection; and</w:t>
      </w:r>
      <w:bookmarkEnd w:id="248"/>
    </w:p>
    <w:p w14:paraId="5B817815" w14:textId="77777777" w:rsidR="00DB2EE6" w:rsidRPr="00C863BC" w:rsidRDefault="00DB2EE6" w:rsidP="00C863BC">
      <w:pPr>
        <w:pStyle w:val="Heading3"/>
      </w:pPr>
      <w:bookmarkStart w:id="249" w:name="_Toc219897261"/>
      <w:r w:rsidRPr="00C863BC">
        <w:t>the connection period for which the connection will be made available.</w:t>
      </w:r>
      <w:bookmarkEnd w:id="249"/>
    </w:p>
    <w:p w14:paraId="10E899F2" w14:textId="72810D34" w:rsidR="00DB2EE6" w:rsidRPr="00C3698C" w:rsidRDefault="00DB2EE6" w:rsidP="00C3698C">
      <w:pPr>
        <w:pStyle w:val="Heading2"/>
      </w:pPr>
      <w:bookmarkStart w:id="250" w:name="_Toc219897262"/>
      <w:r w:rsidRPr="00C3698C">
        <w:t xml:space="preserve">In the case of a request for a DCC Gateway LV Connection, and where the DCC's </w:t>
      </w:r>
      <w:r w:rsidR="00AF0D6D">
        <w:t>Remote Assessment</w:t>
      </w:r>
      <w:r w:rsidRPr="00C3698C">
        <w:t xml:space="preserve"> indicates that a Site Survey is required, the DCC shall, as soon as reasonably practicable, notify the requesting Party that this is the case, and (unless the DCC is not reasonably able to do so without undertaking the Site Survey, and subject to further information which may become available as a result of the Site Survey) notify the Party of:</w:t>
      </w:r>
      <w:bookmarkEnd w:id="250"/>
    </w:p>
    <w:p w14:paraId="466683FF" w14:textId="77777777" w:rsidR="00DB2EE6" w:rsidRPr="00C863BC" w:rsidRDefault="00DB2EE6" w:rsidP="00C863BC">
      <w:pPr>
        <w:pStyle w:val="Heading3"/>
      </w:pPr>
      <w:bookmarkStart w:id="251" w:name="_Toc219897263"/>
      <w:r w:rsidRPr="00C863BC">
        <w:t xml:space="preserve">the DCC's reasonable estimate of the likely bandwidth of the connection once </w:t>
      </w:r>
      <w:proofErr w:type="gramStart"/>
      <w:r w:rsidRPr="00C863BC">
        <w:t>made;</w:t>
      </w:r>
      <w:bookmarkEnd w:id="251"/>
      <w:proofErr w:type="gramEnd"/>
    </w:p>
    <w:p w14:paraId="65E2B87C" w14:textId="77777777" w:rsidR="00DB2EE6" w:rsidRPr="00C863BC" w:rsidRDefault="00DB2EE6" w:rsidP="00C863BC">
      <w:pPr>
        <w:pStyle w:val="Heading3"/>
      </w:pPr>
      <w:bookmarkStart w:id="252" w:name="_Toc219897264"/>
      <w:r w:rsidRPr="00C863BC">
        <w:t xml:space="preserve">the estimated date from which the DCC will provide the </w:t>
      </w:r>
      <w:proofErr w:type="gramStart"/>
      <w:r w:rsidRPr="00C863BC">
        <w:t>connection;</w:t>
      </w:r>
      <w:bookmarkEnd w:id="252"/>
      <w:proofErr w:type="gramEnd"/>
    </w:p>
    <w:p w14:paraId="45CC47A3" w14:textId="77777777" w:rsidR="00DB2EE6" w:rsidRPr="00C863BC" w:rsidRDefault="00DB2EE6" w:rsidP="00C863BC">
      <w:pPr>
        <w:pStyle w:val="Heading3"/>
      </w:pPr>
      <w:bookmarkStart w:id="253" w:name="_Toc219897265"/>
      <w:r w:rsidRPr="00C863BC">
        <w:t>the estimated connection Charges and annual Charges that will apply in respect of the connection; and</w:t>
      </w:r>
      <w:bookmarkEnd w:id="253"/>
    </w:p>
    <w:p w14:paraId="48E502D8" w14:textId="77777777" w:rsidR="00DB2EE6" w:rsidRPr="00C863BC" w:rsidRDefault="00DB2EE6" w:rsidP="00C863BC">
      <w:pPr>
        <w:pStyle w:val="Heading3"/>
      </w:pPr>
      <w:bookmarkStart w:id="254" w:name="_Toc219897266"/>
      <w:r w:rsidRPr="00C863BC">
        <w:t>the connection period for which the connection will be made available.</w:t>
      </w:r>
      <w:bookmarkEnd w:id="254"/>
    </w:p>
    <w:p w14:paraId="14AAEF04" w14:textId="763A49AD" w:rsidR="00DB2EE6" w:rsidRPr="00C3698C" w:rsidRDefault="00DB2EE6" w:rsidP="00C3698C">
      <w:pPr>
        <w:pStyle w:val="Heading2"/>
      </w:pPr>
      <w:bookmarkStart w:id="255" w:name="_Toc219897267"/>
      <w:r w:rsidRPr="00C3698C">
        <w:t xml:space="preserve">In the case of a request for a DCC Gateway HV Cloud Connection, </w:t>
      </w:r>
      <w:r w:rsidR="00E25B2B" w:rsidRPr="00E25B2B">
        <w:t>where the DCC Gateway Party has passed the Remote Assessment</w:t>
      </w:r>
      <w:r w:rsidR="00A0076C">
        <w:t xml:space="preserve">, </w:t>
      </w:r>
      <w:r w:rsidRPr="00C3698C">
        <w:t>the DCC shall, as soon as reasonably practicable, provide an offer to the Party setting out:</w:t>
      </w:r>
      <w:bookmarkEnd w:id="255"/>
    </w:p>
    <w:p w14:paraId="7CA0180F" w14:textId="77777777" w:rsidR="00DB2EE6" w:rsidRPr="00C863BC" w:rsidRDefault="00DB2EE6" w:rsidP="00C863BC">
      <w:pPr>
        <w:pStyle w:val="Heading3"/>
      </w:pPr>
      <w:bookmarkStart w:id="256" w:name="_Toc219897268"/>
      <w:r w:rsidRPr="00C863BC">
        <w:t xml:space="preserve">the bandwidth requested for that DCC Gateway HV Cloud </w:t>
      </w:r>
      <w:proofErr w:type="gramStart"/>
      <w:r w:rsidRPr="00C863BC">
        <w:t>Connection;</w:t>
      </w:r>
      <w:bookmarkEnd w:id="256"/>
      <w:proofErr w:type="gramEnd"/>
    </w:p>
    <w:p w14:paraId="24C7ECB7" w14:textId="77777777" w:rsidR="00DB2EE6" w:rsidRPr="00C863BC" w:rsidRDefault="00DB2EE6" w:rsidP="00C863BC">
      <w:pPr>
        <w:pStyle w:val="Heading3"/>
      </w:pPr>
      <w:bookmarkStart w:id="257" w:name="_Toc219897269"/>
      <w:r w:rsidRPr="00C863BC">
        <w:t>the annual Charges that will apply in respect of the connection, (noting that no connection Charges shall apply to DCC Gateway HV Cloud Connections); and</w:t>
      </w:r>
      <w:bookmarkEnd w:id="257"/>
    </w:p>
    <w:p w14:paraId="3550CDED" w14:textId="3F1F5C64" w:rsidR="00EA4FD6" w:rsidRDefault="00DB2EE6" w:rsidP="00EA4FD6">
      <w:pPr>
        <w:pStyle w:val="Heading3"/>
      </w:pPr>
      <w:bookmarkStart w:id="258" w:name="_Toc219897270"/>
      <w:r w:rsidRPr="00C863BC">
        <w:t>the connection period for which the connection will be made available.</w:t>
      </w:r>
      <w:bookmarkEnd w:id="258"/>
    </w:p>
    <w:p w14:paraId="658585B1" w14:textId="75A990FC" w:rsidR="00EA4FD6" w:rsidRDefault="00EA4FD6" w:rsidP="00302EB7">
      <w:pPr>
        <w:pStyle w:val="Heading2"/>
        <w:numPr>
          <w:ilvl w:val="0"/>
          <w:numId w:val="0"/>
        </w:numPr>
        <w:ind w:left="709" w:hanging="709"/>
      </w:pPr>
      <w:r>
        <w:t>H15.12A</w:t>
      </w:r>
      <w:r w:rsidR="006B2054">
        <w:t xml:space="preserve"> </w:t>
      </w:r>
      <w:r w:rsidRPr="00C3698C">
        <w:t xml:space="preserve">In the case of a request for a DCC Gateway HV Cloud Connection, </w:t>
      </w:r>
      <w:r w:rsidRPr="00E25B2B">
        <w:t xml:space="preserve">where the </w:t>
      </w:r>
      <w:r w:rsidRPr="00E25B2B">
        <w:lastRenderedPageBreak/>
        <w:t xml:space="preserve">DCC Gateway Party has </w:t>
      </w:r>
      <w:r w:rsidR="00263FAC">
        <w:t xml:space="preserve">not </w:t>
      </w:r>
      <w:r w:rsidRPr="00E25B2B">
        <w:t>passed the Remote Assessment</w:t>
      </w:r>
      <w:r>
        <w:t xml:space="preserve">, </w:t>
      </w:r>
      <w:r w:rsidRPr="00C3698C">
        <w:t xml:space="preserve">the DCC shall, as soon as reasonably practicable, </w:t>
      </w:r>
      <w:r w:rsidR="009D48C4">
        <w:t>advise</w:t>
      </w:r>
      <w:r w:rsidRPr="00C3698C">
        <w:t xml:space="preserve"> the Party </w:t>
      </w:r>
      <w:r w:rsidR="002353D4">
        <w:t xml:space="preserve">on the </w:t>
      </w:r>
      <w:r w:rsidR="008D52B9">
        <w:t xml:space="preserve">compatible </w:t>
      </w:r>
      <w:r w:rsidR="002353D4" w:rsidRPr="003D555D">
        <w:t>bandwidth</w:t>
      </w:r>
      <w:r w:rsidR="008D52B9">
        <w:t xml:space="preserve"> for that Party</w:t>
      </w:r>
      <w:r w:rsidR="00302EB7">
        <w:t>’s DCC Gateway HV cloud Connection</w:t>
      </w:r>
      <w:r w:rsidR="00814825">
        <w:t>.</w:t>
      </w:r>
    </w:p>
    <w:p w14:paraId="78446F99" w14:textId="052C048B" w:rsidR="00814825" w:rsidRPr="00814825" w:rsidRDefault="00814825" w:rsidP="003D555D">
      <w:pPr>
        <w:pStyle w:val="Body2"/>
        <w:ind w:hanging="709"/>
      </w:pPr>
      <w:r>
        <w:t>H15.12B</w:t>
      </w:r>
      <w:r w:rsidR="006B2054">
        <w:t xml:space="preserve"> </w:t>
      </w:r>
      <w:r>
        <w:t xml:space="preserve">Following a notification </w:t>
      </w:r>
      <w:r w:rsidR="00906E0C">
        <w:t>pursuant</w:t>
      </w:r>
      <w:r>
        <w:t xml:space="preserve"> to </w:t>
      </w:r>
      <w:r w:rsidR="00906E0C">
        <w:t>Clause</w:t>
      </w:r>
      <w:r>
        <w:t xml:space="preserve"> H15.12A, the DCC Gateway Party shall confirm </w:t>
      </w:r>
      <w:r w:rsidR="00906E0C" w:rsidRPr="00906E0C">
        <w:t>its preferred DCC Gateway Connection Type and DCC Gateway Connection Option in accordance with Clause 15.8</w:t>
      </w:r>
      <w:r w:rsidR="007069C9" w:rsidRPr="007069C9">
        <w:t xml:space="preserve"> and follow the process set out above again</w:t>
      </w:r>
      <w:r w:rsidR="00906E0C" w:rsidRPr="00906E0C">
        <w:t>.</w:t>
      </w:r>
    </w:p>
    <w:p w14:paraId="7D1FC5D3" w14:textId="77777777" w:rsidR="00DB2EE6" w:rsidRPr="00C3698C" w:rsidRDefault="00DB2EE6" w:rsidP="00C3698C">
      <w:pPr>
        <w:pStyle w:val="Heading2"/>
      </w:pPr>
      <w:bookmarkStart w:id="259" w:name="_Toc219897271"/>
      <w:r w:rsidRPr="00C3698C">
        <w:t>In the case of a request for a DCC Gateway HV Physical Connection, the DCC shall, as soon as reasonably practicable, notify the Party that a Site Survey is required, and (unless the DCC is not reasonably able to do so without undertaking the Site Survey, and subject to further information which may become available as a result of the Site Survey) notify the Party of:</w:t>
      </w:r>
      <w:bookmarkEnd w:id="259"/>
    </w:p>
    <w:p w14:paraId="46F53626" w14:textId="77777777" w:rsidR="00DB2EE6" w:rsidRPr="00C863BC" w:rsidRDefault="00DB2EE6" w:rsidP="00C863BC">
      <w:pPr>
        <w:pStyle w:val="Heading3"/>
      </w:pPr>
      <w:bookmarkStart w:id="260" w:name="_Toc219897272"/>
      <w:r w:rsidRPr="00C863BC">
        <w:t xml:space="preserve">the estimated date from which the DCC will provide the </w:t>
      </w:r>
      <w:proofErr w:type="gramStart"/>
      <w:r w:rsidRPr="00C863BC">
        <w:t>connection;</w:t>
      </w:r>
      <w:bookmarkEnd w:id="260"/>
      <w:proofErr w:type="gramEnd"/>
    </w:p>
    <w:p w14:paraId="482B2B71" w14:textId="77777777" w:rsidR="00DB2EE6" w:rsidRPr="00C863BC" w:rsidRDefault="00DB2EE6" w:rsidP="00C863BC">
      <w:pPr>
        <w:pStyle w:val="Heading3"/>
      </w:pPr>
      <w:bookmarkStart w:id="261" w:name="_Toc219897273"/>
      <w:r w:rsidRPr="00C863BC">
        <w:t>the estimated connection Charges and annual Charges that will apply in respect of the connection; and</w:t>
      </w:r>
      <w:bookmarkEnd w:id="261"/>
    </w:p>
    <w:p w14:paraId="3B2E6D83" w14:textId="77777777" w:rsidR="00DB2EE6" w:rsidRPr="00C863BC" w:rsidRDefault="00DB2EE6" w:rsidP="00C863BC">
      <w:pPr>
        <w:pStyle w:val="Heading3"/>
      </w:pPr>
      <w:bookmarkStart w:id="262" w:name="_Toc219897274"/>
      <w:r w:rsidRPr="00C863BC">
        <w:t>the connection period for which the connection will be made available.</w:t>
      </w:r>
      <w:bookmarkEnd w:id="262"/>
    </w:p>
    <w:p w14:paraId="7F2BFDCC" w14:textId="77777777" w:rsidR="00DB2EE6" w:rsidRPr="00C3698C" w:rsidRDefault="00DB2EE6" w:rsidP="00C3698C">
      <w:pPr>
        <w:pStyle w:val="Heading2"/>
      </w:pPr>
      <w:bookmarkStart w:id="263" w:name="_Toc219897275"/>
      <w:r w:rsidRPr="00C3698C">
        <w:t>In the case of an offer to a Party under Clause 15.10, the Gateway Party shall, as soon as reasonably practicable, confirm whether or not it accepts that offer and consents to the installations of the following equipment, subject to the completion of the Site-Specific Design and both the DCC and DCC Gateway Party agreeing the date of the installation of:</w:t>
      </w:r>
      <w:bookmarkEnd w:id="263"/>
    </w:p>
    <w:p w14:paraId="55B478B0" w14:textId="77777777" w:rsidR="00DB2EE6" w:rsidRPr="00C863BC" w:rsidRDefault="00DB2EE6" w:rsidP="00C863BC">
      <w:pPr>
        <w:pStyle w:val="Heading3"/>
      </w:pPr>
      <w:bookmarkStart w:id="264" w:name="_Toc219897276"/>
      <w:r w:rsidRPr="00C863BC">
        <w:t>the Underlay (Circuit); and</w:t>
      </w:r>
      <w:bookmarkEnd w:id="264"/>
    </w:p>
    <w:p w14:paraId="0786E244" w14:textId="77777777" w:rsidR="00DB2EE6" w:rsidRPr="00C863BC" w:rsidRDefault="00DB2EE6" w:rsidP="00C863BC">
      <w:pPr>
        <w:pStyle w:val="Heading3"/>
      </w:pPr>
      <w:bookmarkStart w:id="265" w:name="_Toc219897277"/>
      <w:r w:rsidRPr="00C863BC">
        <w:t>the Overlay (SD-WAN); or</w:t>
      </w:r>
      <w:bookmarkEnd w:id="265"/>
    </w:p>
    <w:p w14:paraId="5CA2F483" w14:textId="77777777" w:rsidR="00DB2EE6" w:rsidRPr="003B07DA" w:rsidRDefault="00DB2EE6" w:rsidP="003B07DA">
      <w:pPr>
        <w:pStyle w:val="Heading2"/>
        <w:numPr>
          <w:ilvl w:val="0"/>
          <w:numId w:val="0"/>
        </w:numPr>
        <w:ind w:left="709"/>
      </w:pPr>
      <w:bookmarkStart w:id="266" w:name="_Toc219897278"/>
      <w:r w:rsidRPr="003B07DA">
        <w:t>advise the DCC on any changed or new requirements with respect to its DCC Gateway Connection Type and/or DCC Gateway Connection Option.</w:t>
      </w:r>
      <w:bookmarkEnd w:id="266"/>
    </w:p>
    <w:p w14:paraId="728B2D10" w14:textId="77777777" w:rsidR="00DB2EE6" w:rsidRPr="00C3698C" w:rsidRDefault="00DB2EE6" w:rsidP="00C3698C">
      <w:pPr>
        <w:pStyle w:val="Heading2"/>
      </w:pPr>
      <w:bookmarkStart w:id="267" w:name="_Toc219897279"/>
      <w:r w:rsidRPr="00C3698C">
        <w:t xml:space="preserve">In the case of an offer to a Party under Clause 15.12, the Gateway Party shall, as soon as reasonably practicable, confirm whether it accepts that offer or advise the DCC of any changed or new requirements with respect to its DCC Gateway Connection Type </w:t>
      </w:r>
      <w:r w:rsidRPr="00C3698C">
        <w:lastRenderedPageBreak/>
        <w:t>and/or DCC Gateway Connection Option.</w:t>
      </w:r>
      <w:bookmarkEnd w:id="267"/>
    </w:p>
    <w:p w14:paraId="604CB918" w14:textId="77777777" w:rsidR="00DB2EE6" w:rsidRPr="00C3698C" w:rsidRDefault="00DB2EE6" w:rsidP="00C3698C">
      <w:pPr>
        <w:pStyle w:val="Heading2"/>
      </w:pPr>
      <w:bookmarkStart w:id="268" w:name="_Toc219897280"/>
      <w:r w:rsidRPr="00C3698C">
        <w:t>In the case of a notice to a Party under Clauses 15.11 or 15.13, the Gateway Party shall, as soon as reasonably practicable, confirm that it consents to DCC proceeding with the Site Survey, subject to both the DCC and DCC Gateway Party agreeing the date of the Site Survey, or advise the DCC of any changed or new requirements with respect to its DCC Gateway Connection Type and/or DCC Gateway Connection Option.</w:t>
      </w:r>
      <w:bookmarkEnd w:id="268"/>
    </w:p>
    <w:p w14:paraId="7A65B857" w14:textId="58F64E4E" w:rsidR="00DB2EE6" w:rsidRPr="00C3698C" w:rsidRDefault="00DB2EE6" w:rsidP="00C3698C">
      <w:pPr>
        <w:pStyle w:val="Heading2"/>
      </w:pPr>
      <w:bookmarkStart w:id="269" w:name="_Toc219897281"/>
      <w:r w:rsidRPr="00C3698C">
        <w:t xml:space="preserve">Where a DCC Gateway Party has confirmed changed or new requirements, pursuant to Clauses 15.14, 15.15 or 15.16, the DCC shall, as soon as reasonably practicable, confirm whether its original offer or information pursuant to Clauses 15.10, 15.11, 15.12 or 15.13 is still valid, or if the offer or information is not valid, it shall carry out another </w:t>
      </w:r>
      <w:r w:rsidR="00C11062">
        <w:t>Remote Assessment</w:t>
      </w:r>
      <w:r w:rsidRPr="00C3698C">
        <w:t xml:space="preserve"> pursuant to Clause 15.9 and follow the process set out above again.</w:t>
      </w:r>
      <w:bookmarkEnd w:id="269"/>
    </w:p>
    <w:p w14:paraId="2B5DCDA7" w14:textId="77777777" w:rsidR="00DB2EE6" w:rsidRPr="007C73A4" w:rsidRDefault="00DB2EE6" w:rsidP="007C73A4">
      <w:pPr>
        <w:pStyle w:val="Body2"/>
        <w:ind w:left="720"/>
        <w:rPr>
          <w:b/>
          <w:bCs/>
        </w:rPr>
      </w:pPr>
      <w:r w:rsidRPr="007C73A4">
        <w:rPr>
          <w:b/>
          <w:bCs/>
        </w:rPr>
        <w:t>Installation Timescales</w:t>
      </w:r>
    </w:p>
    <w:p w14:paraId="48A756CF" w14:textId="77777777" w:rsidR="00DB2EE6" w:rsidRPr="00C3698C" w:rsidRDefault="00DB2EE6" w:rsidP="00C3698C">
      <w:pPr>
        <w:pStyle w:val="Heading2"/>
      </w:pPr>
      <w:bookmarkStart w:id="270" w:name="_Toc219897282"/>
      <w:r w:rsidRPr="00C3698C">
        <w:t xml:space="preserve">The DCC shall, from the date the DCC Gateway Party accepts </w:t>
      </w:r>
      <w:proofErr w:type="gramStart"/>
      <w:r w:rsidRPr="00C3698C">
        <w:t>its</w:t>
      </w:r>
      <w:proofErr w:type="gramEnd"/>
      <w:r w:rsidRPr="00C3698C">
        <w:t xml:space="preserve"> offer pursuant to Clause 15.15, provide the DCC Gateway HV Cloud Connection within 30 Working Days.</w:t>
      </w:r>
      <w:bookmarkEnd w:id="270"/>
    </w:p>
    <w:p w14:paraId="56BA268E" w14:textId="77777777" w:rsidR="00DB2EE6" w:rsidRPr="00C3698C" w:rsidRDefault="00DB2EE6" w:rsidP="00C3698C">
      <w:pPr>
        <w:pStyle w:val="Heading2"/>
      </w:pPr>
      <w:bookmarkStart w:id="271" w:name="_Toc219897283"/>
      <w:r w:rsidRPr="00C3698C">
        <w:t xml:space="preserve">The DCC shall, from the date the DCC Gateway Party accepts </w:t>
      </w:r>
      <w:proofErr w:type="gramStart"/>
      <w:r w:rsidRPr="00C3698C">
        <w:t>its</w:t>
      </w:r>
      <w:proofErr w:type="gramEnd"/>
      <w:r w:rsidRPr="00C3698C">
        <w:t xml:space="preserve"> offer pursuant to Clauses 15.14 or 15.16, complete the installation of the Overlay (SD-WAN) within 120 Working Days, subject to any extra time to account for any of the following:</w:t>
      </w:r>
      <w:bookmarkEnd w:id="271"/>
    </w:p>
    <w:p w14:paraId="3E65E9E1" w14:textId="28C9EF43" w:rsidR="00DB2EE6" w:rsidRPr="003B07DA" w:rsidRDefault="00DB2EE6" w:rsidP="0087541E">
      <w:pPr>
        <w:pStyle w:val="Heading3"/>
      </w:pPr>
      <w:bookmarkStart w:id="272" w:name="_Toc219897284"/>
      <w:r w:rsidRPr="00782EDD">
        <w:t>wayleaves being required for the location of the DCC Connect Gateway Connection;</w:t>
      </w:r>
      <w:bookmarkEnd w:id="272"/>
      <w:r w:rsidR="00D759A6">
        <w:t xml:space="preserve"> or</w:t>
      </w:r>
    </w:p>
    <w:p w14:paraId="66CA43D6" w14:textId="77777777" w:rsidR="00DB2EE6" w:rsidRPr="003B07DA" w:rsidRDefault="00DB2EE6" w:rsidP="0087541E">
      <w:pPr>
        <w:pStyle w:val="Heading3"/>
      </w:pPr>
      <w:bookmarkStart w:id="273" w:name="_Toc219897285"/>
      <w:r w:rsidRPr="00782EDD">
        <w:t>excess construction works required, requiring planning permission or road permits; or</w:t>
      </w:r>
      <w:bookmarkEnd w:id="273"/>
    </w:p>
    <w:p w14:paraId="7899668B" w14:textId="77777777" w:rsidR="00DB2EE6" w:rsidRPr="003B07DA" w:rsidRDefault="00DB2EE6" w:rsidP="0087541E">
      <w:pPr>
        <w:pStyle w:val="Heading3"/>
      </w:pPr>
      <w:bookmarkStart w:id="274" w:name="_Toc219897286"/>
      <w:r w:rsidRPr="00782EDD">
        <w:t>where a Site Survey is required pursuant to Clause 15.2</w:t>
      </w:r>
      <w:r>
        <w:t>1</w:t>
      </w:r>
      <w:r w:rsidRPr="00782EDD">
        <w:t>, changes affecting the planned installation at the location of the DCC Connect Gateway Connection and surrounding environment following that Site Survey.</w:t>
      </w:r>
      <w:bookmarkEnd w:id="274"/>
    </w:p>
    <w:p w14:paraId="2FFFE1BA" w14:textId="77777777" w:rsidR="00DB2EE6" w:rsidRPr="00C3698C" w:rsidRDefault="00DB2EE6" w:rsidP="00C3698C">
      <w:pPr>
        <w:pStyle w:val="Heading2"/>
        <w:numPr>
          <w:ilvl w:val="0"/>
          <w:numId w:val="0"/>
        </w:numPr>
        <w:ind w:left="709"/>
      </w:pPr>
      <w:bookmarkStart w:id="275" w:name="_Toc219897287"/>
      <w:r w:rsidRPr="00C3698C">
        <w:t xml:space="preserve">Where Clauses 15.19(a) or 15.19(b) apply, the DCC shall seek to gain the relevant consents and/or undertake the works as soon as reasonably practicable, or where Clause 15.19(c) applies, the DCC shall confirm if its offer pursuant to Clause 15.21 is still </w:t>
      </w:r>
      <w:r w:rsidRPr="00C3698C">
        <w:lastRenderedPageBreak/>
        <w:t>valid, or if it isn’t, carry out a Site Survey and provide a new offer pursuant to Clause 15.21.</w:t>
      </w:r>
      <w:bookmarkEnd w:id="275"/>
    </w:p>
    <w:p w14:paraId="06836089" w14:textId="77777777" w:rsidR="00DB2EE6" w:rsidRPr="007C73A4" w:rsidRDefault="00DB2EE6" w:rsidP="007C73A4">
      <w:pPr>
        <w:pStyle w:val="Body2"/>
        <w:ind w:left="720"/>
        <w:rPr>
          <w:b/>
          <w:bCs/>
        </w:rPr>
      </w:pPr>
      <w:bookmarkStart w:id="276" w:name="_Hlk211958460"/>
      <w:r w:rsidRPr="007C73A4">
        <w:rPr>
          <w:b/>
          <w:bCs/>
        </w:rPr>
        <w:t xml:space="preserve">Planning of Site Surveys </w:t>
      </w:r>
      <w:bookmarkEnd w:id="276"/>
      <w:r w:rsidRPr="007C73A4">
        <w:rPr>
          <w:b/>
          <w:bCs/>
        </w:rPr>
        <w:t>and the Installation of DCC Gateway Equipment</w:t>
      </w:r>
    </w:p>
    <w:p w14:paraId="791B1194" w14:textId="77777777" w:rsidR="00DB2EE6" w:rsidRPr="00C3698C" w:rsidRDefault="00DB2EE6" w:rsidP="00C3698C">
      <w:pPr>
        <w:pStyle w:val="Heading2"/>
      </w:pPr>
      <w:bookmarkStart w:id="277" w:name="_Toc219897288"/>
      <w:r w:rsidRPr="00C3698C">
        <w:t>Where the DCC Gateway Party has consented to the DCC proceeding with the installations pursuant to Clause 15.10(b), or a Site Survey pursuant to Clauses 15.11 or 15.13, the DCC Gateway Party shall, as soon as reasonably practicable:</w:t>
      </w:r>
      <w:bookmarkEnd w:id="277"/>
    </w:p>
    <w:p w14:paraId="1E7E423E" w14:textId="77777777" w:rsidR="00DB2EE6" w:rsidRPr="003B07DA" w:rsidRDefault="00DB2EE6" w:rsidP="0087541E">
      <w:pPr>
        <w:pStyle w:val="Heading3"/>
      </w:pPr>
      <w:bookmarkStart w:id="278" w:name="_Toc219897289"/>
      <w:r>
        <w:t xml:space="preserve">promptly </w:t>
      </w:r>
      <w:r w:rsidRPr="00782EDD">
        <w:t>provide such information as may be reasonably required by the DCC to enable it to plan, co-ordinate and undertake, such Site Survey or installations; and</w:t>
      </w:r>
      <w:bookmarkEnd w:id="278"/>
    </w:p>
    <w:p w14:paraId="6CC01884" w14:textId="77777777" w:rsidR="00DB2EE6" w:rsidRPr="003B07DA" w:rsidRDefault="00DB2EE6" w:rsidP="0087541E">
      <w:pPr>
        <w:pStyle w:val="Heading3"/>
      </w:pPr>
      <w:bookmarkStart w:id="279" w:name="_Toc219897290"/>
      <w:r w:rsidRPr="00782EDD">
        <w:t xml:space="preserve">ensure that the DCC has such access to the Party's premises as the DCC may require </w:t>
      </w:r>
      <w:proofErr w:type="gramStart"/>
      <w:r w:rsidRPr="00782EDD">
        <w:t>in order to</w:t>
      </w:r>
      <w:proofErr w:type="gramEnd"/>
      <w:r w:rsidRPr="00782EDD">
        <w:t xml:space="preserve"> undertake the Site Survey </w:t>
      </w:r>
      <w:r>
        <w:t>and/</w:t>
      </w:r>
      <w:r w:rsidRPr="00782EDD">
        <w:t>or installations.</w:t>
      </w:r>
      <w:bookmarkEnd w:id="279"/>
      <w:r w:rsidRPr="00782EDD">
        <w:t xml:space="preserve"> </w:t>
      </w:r>
    </w:p>
    <w:p w14:paraId="2079718C" w14:textId="77777777" w:rsidR="00DB2EE6" w:rsidRPr="007C73A4" w:rsidRDefault="00DB2EE6" w:rsidP="007C73A4">
      <w:pPr>
        <w:pStyle w:val="Body2"/>
        <w:ind w:left="720"/>
        <w:rPr>
          <w:b/>
          <w:bCs/>
        </w:rPr>
      </w:pPr>
      <w:r w:rsidRPr="007C73A4">
        <w:rPr>
          <w:b/>
          <w:bCs/>
        </w:rPr>
        <w:t>Site Surveys</w:t>
      </w:r>
    </w:p>
    <w:p w14:paraId="6E05C96B" w14:textId="77777777" w:rsidR="00DB2EE6" w:rsidRPr="00C3698C" w:rsidRDefault="00DB2EE6" w:rsidP="00C3698C">
      <w:pPr>
        <w:pStyle w:val="Heading2"/>
      </w:pPr>
      <w:bookmarkStart w:id="280" w:name="_Toc219897291"/>
      <w:r w:rsidRPr="00C3698C">
        <w:t>Following completion of a Site Survey the DCC shall, as soon as reasonably practicable, provide an offer to the DCC Gateway Party setting out:</w:t>
      </w:r>
      <w:bookmarkEnd w:id="280"/>
    </w:p>
    <w:p w14:paraId="6F0D0B99" w14:textId="77777777" w:rsidR="00DB2EE6" w:rsidRPr="003B07DA" w:rsidRDefault="00DB2EE6" w:rsidP="003B07DA">
      <w:pPr>
        <w:pStyle w:val="Heading3"/>
      </w:pPr>
      <w:bookmarkStart w:id="281" w:name="_Toc219897292"/>
      <w:r w:rsidRPr="003B07DA">
        <w:t>any supplementary conditions which will apply in respect of the connection</w:t>
      </w:r>
      <w:r w:rsidRPr="003B07DA" w:rsidDel="00256780">
        <w:t xml:space="preserve"> </w:t>
      </w:r>
      <w:r w:rsidRPr="003B07DA">
        <w:t xml:space="preserve">(in addition to the provisions of this Code) required </w:t>
      </w:r>
      <w:proofErr w:type="gramStart"/>
      <w:r w:rsidRPr="003B07DA">
        <w:t>as a consequence of</w:t>
      </w:r>
      <w:proofErr w:type="gramEnd"/>
      <w:r w:rsidRPr="003B07DA">
        <w:t xml:space="preserve"> matters identified in the Site </w:t>
      </w:r>
      <w:proofErr w:type="gramStart"/>
      <w:r w:rsidRPr="003B07DA">
        <w:t>Survey;</w:t>
      </w:r>
      <w:bookmarkEnd w:id="281"/>
      <w:proofErr w:type="gramEnd"/>
    </w:p>
    <w:p w14:paraId="6282E4FD" w14:textId="77777777" w:rsidR="00DB2EE6" w:rsidRPr="003B07DA" w:rsidRDefault="00DB2EE6" w:rsidP="003B07DA">
      <w:pPr>
        <w:pStyle w:val="Heading3"/>
      </w:pPr>
      <w:bookmarkStart w:id="282" w:name="_Toc219897293"/>
      <w:r w:rsidRPr="003B07DA">
        <w:t xml:space="preserve">(in the case of a DCC Gateway LV Connection) the DCC's reasonable estimate of the likely bandwidth of the connection once </w:t>
      </w:r>
      <w:proofErr w:type="gramStart"/>
      <w:r w:rsidRPr="003B07DA">
        <w:t>made;</w:t>
      </w:r>
      <w:bookmarkEnd w:id="282"/>
      <w:proofErr w:type="gramEnd"/>
    </w:p>
    <w:p w14:paraId="5297BA37" w14:textId="77777777" w:rsidR="00DB2EE6" w:rsidRPr="003B07DA" w:rsidRDefault="00DB2EE6" w:rsidP="003B07DA">
      <w:pPr>
        <w:pStyle w:val="Heading3"/>
      </w:pPr>
      <w:bookmarkStart w:id="283" w:name="_Toc219897294"/>
      <w:r w:rsidRPr="003B07DA">
        <w:t>the date on which the DCC will install the following equipment, subject to the approval of the Site-Specific Design prior to the installation of the Overlay (SD-WAN) pursuant to Clause 15.27 (and where the approval is not acquired prior to the planned installation of the Overlay (SD-WAN), the DCC shall take all reasonable steps to minimise the length of the subsequent delay to the provision of the Underlay (Circuit)):</w:t>
      </w:r>
      <w:bookmarkEnd w:id="283"/>
    </w:p>
    <w:p w14:paraId="21CFB6EF" w14:textId="77777777" w:rsidR="00DB2EE6" w:rsidRDefault="00DB2EE6" w:rsidP="0087541E">
      <w:pPr>
        <w:pStyle w:val="Heading4"/>
        <w:numPr>
          <w:ilvl w:val="3"/>
          <w:numId w:val="57"/>
        </w:numPr>
      </w:pPr>
      <w:r>
        <w:t>U</w:t>
      </w:r>
      <w:r w:rsidRPr="0097783E">
        <w:t>nderlay</w:t>
      </w:r>
      <w:r>
        <w:t xml:space="preserve"> (Circuit</w:t>
      </w:r>
      <w:r w:rsidRPr="0097783E">
        <w:t>)</w:t>
      </w:r>
      <w:r>
        <w:t xml:space="preserve">, which shall be no more than </w:t>
      </w:r>
      <w:r w:rsidRPr="00104DA1">
        <w:t xml:space="preserve">90 calendar </w:t>
      </w:r>
      <w:r w:rsidRPr="23BF29C3">
        <w:t xml:space="preserve">days following the date </w:t>
      </w:r>
      <w:r>
        <w:t>by which</w:t>
      </w:r>
      <w:r w:rsidRPr="23BF29C3">
        <w:t xml:space="preserve"> th</w:t>
      </w:r>
      <w:r>
        <w:t>e</w:t>
      </w:r>
      <w:r w:rsidRPr="23BF29C3">
        <w:t xml:space="preserve"> </w:t>
      </w:r>
      <w:r>
        <w:t xml:space="preserve">offer is to be accepted); </w:t>
      </w:r>
      <w:r w:rsidRPr="0097783E">
        <w:t>and</w:t>
      </w:r>
    </w:p>
    <w:p w14:paraId="38A9B854" w14:textId="77777777" w:rsidR="00DB2EE6" w:rsidRPr="006B68DE" w:rsidRDefault="00DB2EE6" w:rsidP="0087541E">
      <w:pPr>
        <w:pStyle w:val="Heading4"/>
        <w:numPr>
          <w:ilvl w:val="3"/>
          <w:numId w:val="57"/>
        </w:numPr>
      </w:pPr>
      <w:r>
        <w:t>the O</w:t>
      </w:r>
      <w:r w:rsidRPr="0097783E">
        <w:t>verlay</w:t>
      </w:r>
      <w:r>
        <w:t xml:space="preserve"> (SD-WAN</w:t>
      </w:r>
      <w:r w:rsidRPr="0097783E">
        <w:t>)</w:t>
      </w:r>
      <w:r>
        <w:t xml:space="preserve">, which </w:t>
      </w:r>
      <w:r w:rsidRPr="00EE2873">
        <w:t>shall be no more than 14 calendar days after the date given for the installation of the Underlay (Circuit</w:t>
      </w:r>
      <w:proofErr w:type="gramStart"/>
      <w:r w:rsidRPr="00EE2873">
        <w:t>)</w:t>
      </w:r>
      <w:r>
        <w:t>;</w:t>
      </w:r>
      <w:proofErr w:type="gramEnd"/>
      <w:r w:rsidRPr="00A35C82">
        <w:t xml:space="preserve"> </w:t>
      </w:r>
    </w:p>
    <w:p w14:paraId="62114F9F" w14:textId="77777777" w:rsidR="00DB2EE6" w:rsidRPr="00363CA8" w:rsidRDefault="00DB2EE6" w:rsidP="00363CA8">
      <w:pPr>
        <w:pStyle w:val="Heading3"/>
      </w:pPr>
      <w:bookmarkStart w:id="284" w:name="_Toc219897295"/>
      <w:r w:rsidRPr="00363CA8">
        <w:lastRenderedPageBreak/>
        <w:t>the revised connection Charges and annual Charges that will apply in respect of the connection, including any excess construction charges; and</w:t>
      </w:r>
      <w:bookmarkEnd w:id="284"/>
    </w:p>
    <w:p w14:paraId="4D28702F" w14:textId="77777777" w:rsidR="00DB2EE6" w:rsidRPr="00363CA8" w:rsidRDefault="00DB2EE6" w:rsidP="00363CA8">
      <w:pPr>
        <w:pStyle w:val="Heading3"/>
      </w:pPr>
      <w:bookmarkStart w:id="285" w:name="_Toc219897296"/>
      <w:r w:rsidRPr="00363CA8">
        <w:t>the connection period for which the connection will be made available.</w:t>
      </w:r>
      <w:bookmarkEnd w:id="285"/>
    </w:p>
    <w:p w14:paraId="2364AAB8" w14:textId="77777777" w:rsidR="00DB2EE6" w:rsidRPr="00C3698C" w:rsidRDefault="00DB2EE6" w:rsidP="00C3698C">
      <w:pPr>
        <w:pStyle w:val="Heading2"/>
      </w:pPr>
      <w:bookmarkStart w:id="286" w:name="_Toc219897297"/>
      <w:r w:rsidRPr="00C3698C">
        <w:t>In the case of an offer to a Party under Clause 15.21, the Gateway Party shall, as soon as reasonably practicable, confirm whether it accepts that offer or advise the DCC of any changed or new requirements with respect to its DCC Gateway Connection Type and/or DCC Gateway Connection Option.</w:t>
      </w:r>
      <w:bookmarkEnd w:id="286"/>
    </w:p>
    <w:p w14:paraId="67F6210B" w14:textId="77777777" w:rsidR="00DB2EE6" w:rsidRPr="00C3698C" w:rsidRDefault="00DB2EE6" w:rsidP="00C3698C">
      <w:pPr>
        <w:pStyle w:val="Heading2"/>
      </w:pPr>
      <w:bookmarkStart w:id="287" w:name="_Toc219897298"/>
      <w:r w:rsidRPr="00C3698C">
        <w:t>Where a DCC Gateway Party has confirmed changed or new requirements, pursuant to Clause 15.22, the DCC shall, as soon as reasonably practicable, confirm whether its original offer or information pursuant to Clause 15.21 is still valid, or if the offer or proposal is invalid, it may:</w:t>
      </w:r>
      <w:bookmarkEnd w:id="287"/>
    </w:p>
    <w:p w14:paraId="685E98C8" w14:textId="75EDFE9F" w:rsidR="00DB2EE6" w:rsidRPr="00363CA8" w:rsidRDefault="00DB2EE6" w:rsidP="00363CA8">
      <w:pPr>
        <w:pStyle w:val="Heading3"/>
      </w:pPr>
      <w:bookmarkStart w:id="288" w:name="_Toc219897299"/>
      <w:r w:rsidRPr="00363CA8">
        <w:t xml:space="preserve">carry out another </w:t>
      </w:r>
      <w:r w:rsidR="00C11062">
        <w:t>Remote Assessment</w:t>
      </w:r>
      <w:r w:rsidRPr="00363CA8">
        <w:t xml:space="preserve"> pursuant to Clause 15.9 and follow the process set out above again; or</w:t>
      </w:r>
      <w:bookmarkEnd w:id="288"/>
    </w:p>
    <w:p w14:paraId="10181F2E" w14:textId="77777777" w:rsidR="00DB2EE6" w:rsidRPr="00363CA8" w:rsidRDefault="00DB2EE6" w:rsidP="00363CA8">
      <w:pPr>
        <w:pStyle w:val="Heading3"/>
      </w:pPr>
      <w:bookmarkStart w:id="289" w:name="_Toc219897300"/>
      <w:r w:rsidRPr="00363CA8">
        <w:t>carry out another Site Survey and provide a subsequent offer pursuant to Clause 15.21.</w:t>
      </w:r>
      <w:bookmarkEnd w:id="289"/>
    </w:p>
    <w:p w14:paraId="0870D81E" w14:textId="3BD6FB08" w:rsidR="00DB2EE6" w:rsidRDefault="00F87C4B" w:rsidP="00C3698C">
      <w:pPr>
        <w:pStyle w:val="Heading2"/>
      </w:pPr>
      <w:bookmarkStart w:id="290" w:name="_Toc219897301"/>
      <w:r w:rsidRPr="005A50EB">
        <w:rPr>
          <w:rFonts w:cs="Times New Roman"/>
        </w:rPr>
        <w:t>Where, following acceptance of an offer pursuant to Clause 15.14, 15.15 or 15.22,  a DCC Gateway Party cancels an order for a DCC Connect Gateway Connection, the DCC Gateway Party shall be liable for all unavoidable costs that the DCC has incurred or will incur in relation to that offer which cannot otherwise be readily recovered via the provision of other services (which may be the full Charges set out in the accepted offer). Following cancellation of an accepted offer the DCC Gateway Party shall, as soon as reasonably required by DCC, confirm to DCC whether it still wishes to have a DCC Gateway Connection, and if so, its preferred DCC Gateway Connection Type and DCC Gateway Connection Option in accordance with Clause 15.8</w:t>
      </w:r>
      <w:r w:rsidR="00DB2EE6" w:rsidRPr="00C3698C">
        <w:t>.</w:t>
      </w:r>
      <w:bookmarkEnd w:id="290"/>
      <w:r w:rsidR="00DB2EE6" w:rsidRPr="00C3698C">
        <w:t xml:space="preserve"> </w:t>
      </w:r>
    </w:p>
    <w:p w14:paraId="4A85B529" w14:textId="27308BB5" w:rsidR="0018085C" w:rsidRPr="0018085C" w:rsidRDefault="00C07258" w:rsidP="00C07258">
      <w:pPr>
        <w:pStyle w:val="Body2"/>
        <w:ind w:hanging="709"/>
      </w:pPr>
      <w:r>
        <w:rPr>
          <w:rFonts w:cs="Arial"/>
          <w:bCs/>
          <w:iCs/>
          <w:szCs w:val="28"/>
        </w:rPr>
        <w:t>15</w:t>
      </w:r>
      <w:r w:rsidRPr="00C07258">
        <w:t>.</w:t>
      </w:r>
      <w:r>
        <w:t>24A</w:t>
      </w:r>
      <w:r>
        <w:tab/>
      </w:r>
      <w:r w:rsidRPr="008A53C2">
        <w:t xml:space="preserve">Where the DCC </w:t>
      </w:r>
      <w:r>
        <w:t>Gateway Party</w:t>
      </w:r>
      <w:r w:rsidRPr="008A53C2">
        <w:t xml:space="preserve"> confirms it still wishes to have a DCC </w:t>
      </w:r>
      <w:r>
        <w:t>Gateway Connection</w:t>
      </w:r>
      <w:r w:rsidRPr="008A53C2">
        <w:t xml:space="preserve"> pursuant to 15.24</w:t>
      </w:r>
      <w:r>
        <w:t xml:space="preserve">, </w:t>
      </w:r>
      <w:r w:rsidRPr="0014110B">
        <w:t xml:space="preserve">the DCC </w:t>
      </w:r>
      <w:r>
        <w:t xml:space="preserve">shall, as soon as reasonably practicable, carry out a Remote Assessment pursuant to </w:t>
      </w:r>
      <w:r w:rsidRPr="002A37B7">
        <w:t>Clause 15.</w:t>
      </w:r>
      <w:r>
        <w:t>9 and the process from Clause 15.9 will again apply.</w:t>
      </w:r>
    </w:p>
    <w:p w14:paraId="6C1FB769" w14:textId="77777777" w:rsidR="00DB2EE6" w:rsidRPr="007C73A4" w:rsidRDefault="00DB2EE6" w:rsidP="007C73A4">
      <w:pPr>
        <w:pStyle w:val="Body2"/>
        <w:ind w:left="720"/>
        <w:rPr>
          <w:b/>
          <w:bCs/>
        </w:rPr>
      </w:pPr>
      <w:r w:rsidRPr="007C73A4">
        <w:rPr>
          <w:b/>
          <w:bCs/>
        </w:rPr>
        <w:t>Site-Specific Design</w:t>
      </w:r>
    </w:p>
    <w:p w14:paraId="17CC200C" w14:textId="1793074F" w:rsidR="00DB2EE6" w:rsidRPr="00C3698C" w:rsidRDefault="00DB2EE6" w:rsidP="00C3698C">
      <w:pPr>
        <w:pStyle w:val="Heading2"/>
      </w:pPr>
      <w:bookmarkStart w:id="291" w:name="_Toc219897302"/>
      <w:r w:rsidRPr="00C3698C">
        <w:lastRenderedPageBreak/>
        <w:t>Where the Gateway Party has accepted an offer pursuant to either Clauses 15.14, 15.15 or 15.22, it shall promptly provide such information as may be reasonably required by the DCC to enable the DCC to produce a Site-Specific Design for the DCC Connect Gateway Connection to enable the ordering of the Overlay (SD-WAN). For the avoidance doubt, a Site-Specific Design is required for each DCC Gateway Connection Type.</w:t>
      </w:r>
      <w:bookmarkEnd w:id="291"/>
    </w:p>
    <w:p w14:paraId="0CF62B3A" w14:textId="77777777" w:rsidR="00DB2EE6" w:rsidRPr="00C3698C" w:rsidRDefault="00DB2EE6" w:rsidP="00C3698C">
      <w:pPr>
        <w:pStyle w:val="Heading2"/>
      </w:pPr>
      <w:bookmarkStart w:id="292" w:name="_Toc219897303"/>
      <w:r w:rsidRPr="00C3698C">
        <w:t>Subject to Clause 15.25, the DCC shall, as soon as reasonably practicable, produce the Site-Specific Design and provide it to the DCC Gateway Party.</w:t>
      </w:r>
      <w:bookmarkEnd w:id="292"/>
    </w:p>
    <w:p w14:paraId="5AE512C1" w14:textId="77777777" w:rsidR="00DB2EE6" w:rsidRPr="00C3698C" w:rsidRDefault="00DB2EE6" w:rsidP="00C3698C">
      <w:pPr>
        <w:pStyle w:val="Heading2"/>
      </w:pPr>
      <w:bookmarkStart w:id="293" w:name="_Toc219897304"/>
      <w:r w:rsidRPr="00C3698C">
        <w:t>Following its receipt of the Site-Specific Design, the DCC Gateway Party shall, as soon as reasonably practicable, confirm if it approves the Site-Specific Design or has any changed requirements.</w:t>
      </w:r>
      <w:bookmarkEnd w:id="293"/>
    </w:p>
    <w:p w14:paraId="210D6948" w14:textId="77777777" w:rsidR="00DB2EE6" w:rsidRPr="00C3698C" w:rsidRDefault="00DB2EE6" w:rsidP="00C3698C">
      <w:pPr>
        <w:pStyle w:val="Heading2"/>
      </w:pPr>
      <w:bookmarkStart w:id="294" w:name="_Toc219897305"/>
      <w:r w:rsidRPr="00C3698C">
        <w:t>Where a DCC Gateway Party has confirmed any changed requirements pursuant to Clause 15.27, the DCC shall take all reasonable steps to accommodate those requirements where they do not impact the accepted offer pursuant to Clauses 15.10, 15.12 or 15.21. Where the DCC has accommodated those requirements, or where the DCC has taken all reasonable steps to accommodate those requirements but has not been able to do so, it shall inform the DCC Gateway Party of the reasons why it has not been able to do so, and in either case the Site-Specific Design shall be deemed final and approved.</w:t>
      </w:r>
      <w:bookmarkEnd w:id="294"/>
    </w:p>
    <w:p w14:paraId="1A8CA99A" w14:textId="7E8C2701" w:rsidR="00DB2EE6" w:rsidRPr="007C73A4" w:rsidRDefault="00DB2EE6" w:rsidP="007C73A4">
      <w:pPr>
        <w:pStyle w:val="Body2"/>
        <w:ind w:left="720"/>
        <w:rPr>
          <w:b/>
          <w:bCs/>
        </w:rPr>
      </w:pPr>
      <w:r w:rsidRPr="007C73A4">
        <w:rPr>
          <w:b/>
          <w:bCs/>
        </w:rPr>
        <w:t>Installation of DCC Gateway Equipment</w:t>
      </w:r>
    </w:p>
    <w:p w14:paraId="21534680" w14:textId="77777777" w:rsidR="00DB2EE6" w:rsidRPr="007C73A4" w:rsidRDefault="00DB2EE6" w:rsidP="007C73A4">
      <w:pPr>
        <w:pStyle w:val="Heading2"/>
      </w:pPr>
      <w:bookmarkStart w:id="295" w:name="_Toc219897306"/>
      <w:r w:rsidRPr="007C73A4">
        <w:t xml:space="preserve">The DCC Gateway Party at whose premises the DCC Gateway Equipment is (or is to be) installed shall provide the DCC with such access to that premises as the DCC may reasonably require </w:t>
      </w:r>
      <w:proofErr w:type="gramStart"/>
      <w:r w:rsidRPr="007C73A4">
        <w:t>in order to</w:t>
      </w:r>
      <w:proofErr w:type="gramEnd"/>
      <w:r w:rsidRPr="007C73A4">
        <w:t xml:space="preserve"> allow it to undertake the installation of the DCC Gateway Equipment. The DCC shall ensure that all persons exercising such rights of access do so in compliance with the site rules and reasonable instructions of the DCC Gateway Party.</w:t>
      </w:r>
      <w:bookmarkEnd w:id="295"/>
    </w:p>
    <w:p w14:paraId="12C44FE7" w14:textId="61C1523D" w:rsidR="00DB2EE6" w:rsidRPr="007C73A4" w:rsidRDefault="00DB2EE6" w:rsidP="007C73A4">
      <w:pPr>
        <w:pStyle w:val="Heading2"/>
      </w:pPr>
      <w:bookmarkStart w:id="296" w:name="_Toc219897307"/>
      <w:r w:rsidRPr="007C73A4">
        <w:t xml:space="preserve">Where reasonably requested by a DCC Gateway Party, the DCC shall provide such information as required by the DCC Gateway Party </w:t>
      </w:r>
      <w:proofErr w:type="gramStart"/>
      <w:r w:rsidRPr="007C73A4">
        <w:t>in order to</w:t>
      </w:r>
      <w:proofErr w:type="gramEnd"/>
      <w:r w:rsidRPr="007C73A4">
        <w:t xml:space="preserve"> facilitate the installation of DCC Gateway Equipment. Following receipt of that information, the DCC Gateway Party shall have the right to reschedule the visit by the DCC. The DCC Gateway Party </w:t>
      </w:r>
      <w:r w:rsidRPr="007C73A4">
        <w:lastRenderedPageBreak/>
        <w:t xml:space="preserve">acknowledges that rescheduling of the visit required for installation may give rise to the DCC </w:t>
      </w:r>
      <w:r w:rsidR="00635FF6">
        <w:t>proposing</w:t>
      </w:r>
      <w:r w:rsidR="00635FF6" w:rsidRPr="007C73A4">
        <w:t xml:space="preserve"> </w:t>
      </w:r>
      <w:r w:rsidRPr="007C73A4">
        <w:t>a revised DCC Gateway Cut-over date pursuant to Clause 15.41.</w:t>
      </w:r>
      <w:bookmarkEnd w:id="296"/>
    </w:p>
    <w:p w14:paraId="103A1BA0" w14:textId="77777777" w:rsidR="00DB2EE6" w:rsidRPr="007C73A4" w:rsidRDefault="00DB2EE6" w:rsidP="007C73A4">
      <w:pPr>
        <w:pStyle w:val="Heading2"/>
      </w:pPr>
      <w:bookmarkStart w:id="297" w:name="_Toc219897308"/>
      <w:r w:rsidRPr="007C73A4">
        <w:t>The DCC shall take all reasonable steps to comply with any DCC Gateway Party’s reasonable requests in respect of the installation of DCC Gateway Equipment. The DCC Gateway Party shall be entitled to make the final decision on the routing of cables and location of the DCC Connect Gateway Equipment, subject to such decision not impacting on the DCC's ability to provide and maintain the DCC Connect Gateway Connection.</w:t>
      </w:r>
      <w:bookmarkEnd w:id="297"/>
    </w:p>
    <w:p w14:paraId="20428046" w14:textId="77777777" w:rsidR="00DB2EE6" w:rsidRPr="007C73A4" w:rsidRDefault="00DB2EE6" w:rsidP="007C73A4">
      <w:pPr>
        <w:pStyle w:val="Heading2"/>
      </w:pPr>
      <w:bookmarkStart w:id="298" w:name="_Toc219897309"/>
      <w:r w:rsidRPr="007C73A4">
        <w:t xml:space="preserve">Where the DCC is undertaking works at the DCC Gateway Party’s premises for the purposes of installation of DCC Gateway Equipment, the DCC shall take all reasonable steps to avoid interrupting the DCC Gateway Party’s existing telecommunications services at those premises. </w:t>
      </w:r>
      <w:proofErr w:type="gramStart"/>
      <w:r w:rsidRPr="007C73A4">
        <w:t>In the event that</w:t>
      </w:r>
      <w:proofErr w:type="gramEnd"/>
      <w:r w:rsidRPr="007C73A4">
        <w:t xml:space="preserve"> it is necessary to interrupt the DCC Gateway Party’s existing telecommunications services:</w:t>
      </w:r>
      <w:bookmarkEnd w:id="298"/>
    </w:p>
    <w:p w14:paraId="323FCB48" w14:textId="77777777" w:rsidR="00DB2EE6" w:rsidRPr="00363CA8" w:rsidRDefault="00DB2EE6" w:rsidP="00363CA8">
      <w:pPr>
        <w:pStyle w:val="Heading3"/>
      </w:pPr>
      <w:bookmarkStart w:id="299" w:name="_Toc219897310"/>
      <w:r w:rsidRPr="00363CA8">
        <w:t>the DCC shall take all reasonable steps to provide the DCC Gateway Party with advance notice of the interruption; and</w:t>
      </w:r>
      <w:bookmarkEnd w:id="299"/>
      <w:r w:rsidRPr="00363CA8">
        <w:t xml:space="preserve"> </w:t>
      </w:r>
    </w:p>
    <w:p w14:paraId="5466586E" w14:textId="507CD82F" w:rsidR="00DB2EE6" w:rsidRPr="00363CA8" w:rsidRDefault="00DB2EE6" w:rsidP="00363CA8">
      <w:pPr>
        <w:pStyle w:val="Heading3"/>
      </w:pPr>
      <w:bookmarkStart w:id="300" w:name="_Toc219897311"/>
      <w:r w:rsidRPr="00363CA8">
        <w:t xml:space="preserve">the DCC Gateway Party shall have the right to request that such interruption </w:t>
      </w:r>
      <w:r w:rsidR="00635FF6">
        <w:t xml:space="preserve">or installation </w:t>
      </w:r>
      <w:r w:rsidRPr="00363CA8">
        <w:t xml:space="preserve">be rescheduled, </w:t>
      </w:r>
      <w:r w:rsidR="00635FF6">
        <w:t xml:space="preserve">with DCC’s agreement to </w:t>
      </w:r>
      <w:r w:rsidRPr="00363CA8">
        <w:t>such request not to be unreasonably withheld or delayed.</w:t>
      </w:r>
      <w:bookmarkEnd w:id="300"/>
      <w:r w:rsidRPr="00363CA8">
        <w:t xml:space="preserve"> </w:t>
      </w:r>
    </w:p>
    <w:p w14:paraId="755B548A" w14:textId="77777777" w:rsidR="00DB2EE6" w:rsidRPr="007C73A4" w:rsidRDefault="00DB2EE6" w:rsidP="007C73A4">
      <w:pPr>
        <w:pStyle w:val="Heading2"/>
      </w:pPr>
      <w:bookmarkStart w:id="301" w:name="_Toc219897312"/>
      <w:r w:rsidRPr="007C73A4">
        <w:t xml:space="preserve">Where the DCC Gateway Party’s existing telecommunications services are interrupted </w:t>
      </w:r>
      <w:proofErr w:type="gramStart"/>
      <w:r w:rsidRPr="007C73A4">
        <w:t>as a result of</w:t>
      </w:r>
      <w:proofErr w:type="gramEnd"/>
      <w:r w:rsidRPr="007C73A4">
        <w:t xml:space="preserve"> DCC undertaking works as set out in Clause 15.32, the DCC shall:</w:t>
      </w:r>
      <w:bookmarkEnd w:id="301"/>
    </w:p>
    <w:p w14:paraId="4BC73781" w14:textId="77777777" w:rsidR="00DB2EE6" w:rsidRPr="00363CA8" w:rsidRDefault="00DB2EE6" w:rsidP="00363CA8">
      <w:pPr>
        <w:pStyle w:val="Heading3"/>
      </w:pPr>
      <w:bookmarkStart w:id="302" w:name="_Toc219897313"/>
      <w:r w:rsidRPr="00363CA8">
        <w:t>take all reasonable steps to minimise the length and impact of the interruption; and</w:t>
      </w:r>
      <w:bookmarkEnd w:id="302"/>
    </w:p>
    <w:p w14:paraId="34A935FE" w14:textId="77777777" w:rsidR="00DB2EE6" w:rsidRPr="00363CA8" w:rsidRDefault="00DB2EE6" w:rsidP="00363CA8">
      <w:pPr>
        <w:pStyle w:val="Heading3"/>
      </w:pPr>
      <w:bookmarkStart w:id="303" w:name="_Toc219897314"/>
      <w:r w:rsidRPr="00363CA8">
        <w:t xml:space="preserve">ensure that the telecommunications services are restored as soon as is reasonably practicable </w:t>
      </w:r>
      <w:proofErr w:type="gramStart"/>
      <w:r w:rsidRPr="00363CA8">
        <w:t>and in any event</w:t>
      </w:r>
      <w:proofErr w:type="gramEnd"/>
      <w:r w:rsidRPr="00363CA8">
        <w:t xml:space="preserve"> immediately following the completion of the works.</w:t>
      </w:r>
      <w:bookmarkEnd w:id="303"/>
    </w:p>
    <w:p w14:paraId="5A891ADA" w14:textId="77777777" w:rsidR="00DB2EE6" w:rsidRPr="007C73A4" w:rsidRDefault="00DB2EE6" w:rsidP="007C73A4">
      <w:pPr>
        <w:pStyle w:val="Heading2"/>
      </w:pPr>
      <w:bookmarkStart w:id="304" w:name="_Toc219897315"/>
      <w:r w:rsidRPr="007C73A4">
        <w:t>In first providing a DCC Connect Gateway Connection at a premises, the DCC shall procure that the DCC Gateway Equipment is installed at the relevant premises, and that the DCC Gateway Equipment is installed in accordance with Good Industry Practice and all applicable Laws and Directives.</w:t>
      </w:r>
      <w:bookmarkEnd w:id="304"/>
    </w:p>
    <w:p w14:paraId="58D80545" w14:textId="607E5DBC" w:rsidR="00DB2EE6" w:rsidRPr="007C73A4" w:rsidRDefault="007C5733" w:rsidP="007C73A4">
      <w:pPr>
        <w:pStyle w:val="Heading2"/>
      </w:pPr>
      <w:bookmarkStart w:id="305" w:name="_Toc219897316"/>
      <w:r w:rsidRPr="007C5733">
        <w:t xml:space="preserve">DCC’s obligations relating to the operation and maintenance of DCC Gateway Equipment following its installation are set out in Clause 15.21 of Section H14 included </w:t>
      </w:r>
      <w:r w:rsidRPr="007C5733">
        <w:lastRenderedPageBreak/>
        <w:t>in Annex 2</w:t>
      </w:r>
      <w:r w:rsidR="00DB2EE6" w:rsidRPr="007C73A4">
        <w:t>.</w:t>
      </w:r>
      <w:bookmarkEnd w:id="305"/>
    </w:p>
    <w:p w14:paraId="724F0D5E" w14:textId="77777777" w:rsidR="00DB2EE6" w:rsidRPr="007C73A4" w:rsidRDefault="00DB2EE6" w:rsidP="007C73A4">
      <w:pPr>
        <w:pStyle w:val="Heading2"/>
      </w:pPr>
      <w:bookmarkStart w:id="306" w:name="_Toc219897317"/>
      <w:r w:rsidRPr="007C73A4">
        <w:t xml:space="preserve">Subject to Clauses 15.34 and 15.35 for the DCC to act in accordance with Good Industry Practice, the DCC shall not be responsible for or liable to the DCC Gateway Party for making good any minor repairs to decoration that have become necessary </w:t>
      </w:r>
      <w:proofErr w:type="gramStart"/>
      <w:r w:rsidRPr="007C73A4">
        <w:t>as a result of</w:t>
      </w:r>
      <w:proofErr w:type="gramEnd"/>
      <w:r w:rsidRPr="007C73A4">
        <w:t xml:space="preserve"> the DCC’s installation of DCC Gateway Equipment.</w:t>
      </w:r>
      <w:bookmarkEnd w:id="306"/>
    </w:p>
    <w:p w14:paraId="5DC0BF2A" w14:textId="77777777" w:rsidR="00DB2EE6" w:rsidRPr="007C73A4" w:rsidRDefault="00DB2EE6" w:rsidP="007C73A4">
      <w:pPr>
        <w:pStyle w:val="Body2"/>
        <w:ind w:left="720"/>
        <w:rPr>
          <w:b/>
          <w:bCs/>
        </w:rPr>
      </w:pPr>
      <w:r w:rsidRPr="007C73A4">
        <w:rPr>
          <w:b/>
          <w:bCs/>
        </w:rPr>
        <w:t>Gateway Connection offers</w:t>
      </w:r>
    </w:p>
    <w:p w14:paraId="46729D60" w14:textId="6BA670C1" w:rsidR="00DB2EE6" w:rsidRPr="007C73A4" w:rsidRDefault="00DB2EE6" w:rsidP="007C73A4">
      <w:pPr>
        <w:pStyle w:val="Heading2"/>
      </w:pPr>
      <w:bookmarkStart w:id="307" w:name="_Toc219897318"/>
      <w:r w:rsidRPr="007C73A4">
        <w:t>Where the annual charges in the DCC’s offer pursuant to Clauses 15.10(c), 15.12(b) or 15.21(</w:t>
      </w:r>
      <w:r w:rsidR="00635FF6">
        <w:t>d</w:t>
      </w:r>
      <w:r w:rsidRPr="007C73A4">
        <w:t>) are equal to or less than the DCC Gateway Party’s current annual charge, the offer shall be deemed to be accepted by the Party, unless the Party rejects the offer within 14 calendar days of the later of the offer being received or of this Clause 15 coming into effect.</w:t>
      </w:r>
      <w:bookmarkEnd w:id="307"/>
    </w:p>
    <w:p w14:paraId="360C5407" w14:textId="671AFE33" w:rsidR="00DB2EE6" w:rsidRPr="007C73A4" w:rsidRDefault="00DB2EE6" w:rsidP="007C73A4">
      <w:pPr>
        <w:pStyle w:val="Heading2"/>
      </w:pPr>
      <w:bookmarkStart w:id="308" w:name="_Toc219897319"/>
      <w:r w:rsidRPr="007C73A4">
        <w:t>Where the annual charges in the DCC’s offer pursuant to Clauses 15.10(c), 15.12(b) or 15.21(</w:t>
      </w:r>
      <w:r w:rsidR="00635FF6">
        <w:t>d</w:t>
      </w:r>
      <w:r w:rsidRPr="007C73A4">
        <w:t>) are more than the DCC Gateway Party’s current annual charge, the DCC Gateway Party will have 30 calendar days following the later of the offer being received or of this Clause 15 coming into effect to confirm to the DCC that the Party accepts that offer. In the absence of such confirmation, the DCC Gateway Party shall be deemed to have accepted the offer.</w:t>
      </w:r>
      <w:bookmarkEnd w:id="308"/>
    </w:p>
    <w:p w14:paraId="12005674" w14:textId="307884B7" w:rsidR="00DB2EE6" w:rsidRPr="007C73A4" w:rsidRDefault="00DB2EE6" w:rsidP="007C73A4">
      <w:pPr>
        <w:pStyle w:val="Heading2"/>
      </w:pPr>
      <w:bookmarkStart w:id="309" w:name="_Toc219897320"/>
      <w:r w:rsidRPr="007C73A4">
        <w:t>Where</w:t>
      </w:r>
      <w:r w:rsidR="00613599">
        <w:t xml:space="preserve"> a DCC Gateway Party</w:t>
      </w:r>
      <w:r w:rsidRPr="007C73A4">
        <w:t xml:space="preserve">, pursuant to Clauses 15.14, 15.15 or 15.22 </w:t>
      </w:r>
      <w:r w:rsidR="00F76A46">
        <w:t>does not accept</w:t>
      </w:r>
      <w:r w:rsidR="00F76A46" w:rsidRPr="007C73A4">
        <w:t xml:space="preserve"> </w:t>
      </w:r>
      <w:r w:rsidRPr="007C73A4">
        <w:t>an offer that has been made</w:t>
      </w:r>
      <w:r w:rsidR="00613599">
        <w:t xml:space="preserve"> or pursuant to Clause 15.16</w:t>
      </w:r>
      <w:r w:rsidR="00033643" w:rsidRPr="00033643">
        <w:t xml:space="preserve"> does not </w:t>
      </w:r>
      <w:r w:rsidR="00914D7E">
        <w:t xml:space="preserve">confirm that it </w:t>
      </w:r>
      <w:r w:rsidR="00033643" w:rsidRPr="00033643">
        <w:t>consent</w:t>
      </w:r>
      <w:r w:rsidR="00914D7E">
        <w:t>s</w:t>
      </w:r>
      <w:r w:rsidR="00033643" w:rsidRPr="00033643">
        <w:t xml:space="preserve"> to a Site Survey,</w:t>
      </w:r>
      <w:r w:rsidRPr="007C73A4">
        <w:t xml:space="preserve"> and wishes to request a different DCC Gateway Connection Option than the one it previously confirmed pursuant to Clause 15.8, the DCC Gateway Party shall, as soon as reasonably practicable, confirm which DCC Gateway Connection Type and DCC Gateway Connection Option it wishes to request.</w:t>
      </w:r>
      <w:bookmarkEnd w:id="309"/>
    </w:p>
    <w:p w14:paraId="320165AD" w14:textId="41695D75" w:rsidR="00DB2EE6" w:rsidRPr="007C73A4" w:rsidRDefault="00DB2EE6" w:rsidP="007C73A4">
      <w:pPr>
        <w:pStyle w:val="Heading2"/>
      </w:pPr>
      <w:bookmarkStart w:id="310" w:name="_Toc219897321"/>
      <w:r w:rsidRPr="007C73A4">
        <w:t xml:space="preserve">Following a request pursuant to Clause 15.39, the DCC shall, as soon as reasonably practicable, carry out </w:t>
      </w:r>
      <w:r w:rsidR="00033643">
        <w:t>a Remote Assessment</w:t>
      </w:r>
      <w:r w:rsidRPr="007C73A4">
        <w:t xml:space="preserve"> pursuant to Clause 15.9 and the process </w:t>
      </w:r>
      <w:r w:rsidR="00033643">
        <w:t>from Clause 15.9</w:t>
      </w:r>
      <w:r w:rsidRPr="007C73A4">
        <w:t xml:space="preserve"> will again apply.</w:t>
      </w:r>
      <w:bookmarkEnd w:id="310"/>
    </w:p>
    <w:p w14:paraId="7AA666E6" w14:textId="77777777" w:rsidR="00DB2EE6" w:rsidRPr="007C73A4" w:rsidRDefault="00DB2EE6" w:rsidP="007C73A4">
      <w:pPr>
        <w:pStyle w:val="Body2"/>
        <w:ind w:left="720"/>
        <w:rPr>
          <w:b/>
          <w:bCs/>
        </w:rPr>
      </w:pPr>
      <w:r w:rsidRPr="007C73A4">
        <w:rPr>
          <w:b/>
          <w:bCs/>
        </w:rPr>
        <w:t>Scheduling of dates for provision of DCC Connect Gateway Connection and for DCC Gateway Cut-Over</w:t>
      </w:r>
    </w:p>
    <w:p w14:paraId="5CC68994" w14:textId="77777777" w:rsidR="00DB2EE6" w:rsidRPr="007C73A4" w:rsidRDefault="00DB2EE6" w:rsidP="007C73A4">
      <w:pPr>
        <w:pStyle w:val="Heading2"/>
      </w:pPr>
      <w:bookmarkStart w:id="311" w:name="_Toc219897322"/>
      <w:r w:rsidRPr="007C73A4">
        <w:t xml:space="preserve">Following the DCC Gateway Party having accepted the offer pursuant to clause 15.15 </w:t>
      </w:r>
      <w:r w:rsidRPr="007C73A4">
        <w:lastRenderedPageBreak/>
        <w:t>or the completion of the installations referred to in Clauses 15.14 or 15.21(c) the DCC shall, as soon as reasonably practicable, notify the DCC Gateway Party of the proposed date of the DCC Gateway Cut-over.</w:t>
      </w:r>
      <w:bookmarkEnd w:id="311"/>
    </w:p>
    <w:p w14:paraId="4798CEB4" w14:textId="71FB68A0" w:rsidR="00DB2EE6" w:rsidRPr="007C73A4" w:rsidRDefault="00DB2EE6" w:rsidP="007C73A4">
      <w:pPr>
        <w:pStyle w:val="Heading2"/>
      </w:pPr>
      <w:bookmarkStart w:id="312" w:name="_Toc219897323"/>
      <w:r w:rsidRPr="007C73A4">
        <w:t xml:space="preserve">The DCC Gateway Party shall, as soon as reasonably practicable, following a notification pursuant to Clause 15.41, confirm </w:t>
      </w:r>
      <w:proofErr w:type="gramStart"/>
      <w:r w:rsidRPr="007C73A4">
        <w:t>whether or not</w:t>
      </w:r>
      <w:proofErr w:type="gramEnd"/>
      <w:r w:rsidRPr="007C73A4">
        <w:t xml:space="preserve"> it accepts the proposed DCC Gateway Cut-over date, </w:t>
      </w:r>
      <w:r w:rsidR="00033643">
        <w:t>and</w:t>
      </w:r>
      <w:r w:rsidR="00033643" w:rsidRPr="007C73A4">
        <w:t xml:space="preserve"> </w:t>
      </w:r>
      <w:r w:rsidRPr="007C73A4">
        <w:t>if it does not, provide rationale as to why that date is not suitable.</w:t>
      </w:r>
      <w:bookmarkEnd w:id="312"/>
    </w:p>
    <w:p w14:paraId="4C3EA45C" w14:textId="27B6D7EB" w:rsidR="00DB2EE6" w:rsidRPr="007C73A4" w:rsidRDefault="00DB2EE6" w:rsidP="007C73A4">
      <w:pPr>
        <w:pStyle w:val="Heading2"/>
      </w:pPr>
      <w:bookmarkStart w:id="313" w:name="_Toc219897324"/>
      <w:r w:rsidRPr="007C73A4">
        <w:t xml:space="preserve">Where the DCC Gateway Party does not </w:t>
      </w:r>
      <w:r w:rsidR="00A94D27">
        <w:t>accept</w:t>
      </w:r>
      <w:r w:rsidR="00A94D27" w:rsidRPr="007C73A4">
        <w:t xml:space="preserve"> </w:t>
      </w:r>
      <w:r w:rsidRPr="007C73A4">
        <w:t>the proposed date pursuant to Clause 15.4</w:t>
      </w:r>
      <w:r w:rsidR="00A94D27">
        <w:t>2</w:t>
      </w:r>
      <w:r w:rsidRPr="007C73A4">
        <w:t>, the DCC and the DCC Gateway Party shall, as soon as reasonably practicable, agree a revised DCC Gateway Cut-over date.</w:t>
      </w:r>
      <w:bookmarkEnd w:id="313"/>
    </w:p>
    <w:p w14:paraId="1A343684" w14:textId="77777777" w:rsidR="00DB2EE6" w:rsidRPr="007C73A4" w:rsidRDefault="00DB2EE6" w:rsidP="007C73A4">
      <w:pPr>
        <w:pStyle w:val="Heading2"/>
      </w:pPr>
      <w:bookmarkStart w:id="314" w:name="_Toc219897325"/>
      <w:r w:rsidRPr="007C73A4">
        <w:t>The DCC and the DCC Gateway Party shall, acting reasonably, agree between them a suitable DCC Gateway Cut-over time on the DCC Gateway Cut-over date.</w:t>
      </w:r>
      <w:bookmarkEnd w:id="314"/>
    </w:p>
    <w:p w14:paraId="601C184E" w14:textId="7CDDC635" w:rsidR="00DB2EE6" w:rsidRPr="007C73A4" w:rsidRDefault="00DB2EE6" w:rsidP="007C73A4">
      <w:pPr>
        <w:pStyle w:val="Heading2"/>
      </w:pPr>
      <w:bookmarkStart w:id="315" w:name="_Toc219897326"/>
      <w:r w:rsidRPr="007C73A4">
        <w:t xml:space="preserve">The DCC and the DCC Gateway Party shall take all reasonable steps to agree a back-up date for the DCC Gateway Cut-over date referred to in Clause 15.41 to be used in the event of </w:t>
      </w:r>
      <w:r w:rsidR="00A94D27">
        <w:t>this</w:t>
      </w:r>
      <w:r w:rsidRPr="007C73A4">
        <w:t xml:space="preserve"> date being unachievable. The period between the </w:t>
      </w:r>
      <w:r w:rsidR="003738C1">
        <w:t>DCC Gateway Cut-over date</w:t>
      </w:r>
      <w:r w:rsidRPr="007C73A4">
        <w:t xml:space="preserve"> and the back-up date will be no less than three weeks and no more than four weeks. In the event a back-up date is required to be used, this date shall become recognised as the </w:t>
      </w:r>
      <w:r w:rsidR="00920362">
        <w:rPr>
          <w:rFonts w:cs="Times New Roman"/>
        </w:rPr>
        <w:t xml:space="preserve">DCC Gateway Cut-over date </w:t>
      </w:r>
      <w:r w:rsidRPr="007C73A4">
        <w:t>and the DCC and the DCC Gateway Party shall take all reasonable steps to agree a new back-up date for the DCC Gateway Cut-</w:t>
      </w:r>
      <w:proofErr w:type="gramStart"/>
      <w:r w:rsidRPr="007C73A4">
        <w:t>over .</w:t>
      </w:r>
      <w:bookmarkEnd w:id="315"/>
      <w:proofErr w:type="gramEnd"/>
    </w:p>
    <w:p w14:paraId="30DD4493" w14:textId="77777777" w:rsidR="00DB2EE6" w:rsidRPr="007C73A4" w:rsidRDefault="00DB2EE6" w:rsidP="007C73A4">
      <w:pPr>
        <w:pStyle w:val="Heading2"/>
      </w:pPr>
      <w:bookmarkStart w:id="316" w:name="_Toc219897327"/>
      <w:r w:rsidRPr="007C73A4">
        <w:t>In the event that the DCC will be delayed in providing the requested DCC Connect Gateway Connection, the DCC shall notify the relevant DCC Gateway Party of the delay (including reasons for the delay) and of the revised DCC Gateway Cut-over date (being the back-up date agreed pursuant to Clause 15.45), and shall take all reasonable steps to carry out the DCC Gateway Cut-over by that revised date.</w:t>
      </w:r>
      <w:bookmarkEnd w:id="316"/>
    </w:p>
    <w:p w14:paraId="339C85E2" w14:textId="77777777" w:rsidR="00DB2EE6" w:rsidRPr="007C73A4" w:rsidRDefault="00DB2EE6" w:rsidP="007C73A4">
      <w:pPr>
        <w:pStyle w:val="Body2"/>
        <w:ind w:left="720"/>
        <w:rPr>
          <w:b/>
          <w:bCs/>
        </w:rPr>
      </w:pPr>
      <w:r w:rsidRPr="007C73A4">
        <w:rPr>
          <w:b/>
          <w:bCs/>
        </w:rPr>
        <w:t>DCC Gateway Cut-Over</w:t>
      </w:r>
    </w:p>
    <w:p w14:paraId="16C8F7B6" w14:textId="77777777" w:rsidR="00DB2EE6" w:rsidRPr="007C73A4" w:rsidRDefault="00DB2EE6" w:rsidP="007C73A4">
      <w:pPr>
        <w:pStyle w:val="Heading2"/>
      </w:pPr>
      <w:bookmarkStart w:id="317" w:name="_Toc219897328"/>
      <w:r w:rsidRPr="007C73A4">
        <w:t>Once the Site-Specific Design is approved pursuant to Clause 15.27 and prior to the DCC Gateway Cut-over, in the case of a DCC Gateway HV Cloud Connection, the DCC Gateway Party shall deploy the changes within its cloud tenancy as set out in the Site-Specific Design so it can access the DCC Gateway HV Cloud Connection.</w:t>
      </w:r>
      <w:bookmarkEnd w:id="317"/>
    </w:p>
    <w:p w14:paraId="36D3B4F8" w14:textId="77777777" w:rsidR="00DB2EE6" w:rsidRPr="007C73A4" w:rsidRDefault="00DB2EE6" w:rsidP="007C73A4">
      <w:pPr>
        <w:pStyle w:val="Heading2"/>
      </w:pPr>
      <w:bookmarkStart w:id="318" w:name="_Toc219897329"/>
      <w:r w:rsidRPr="007C73A4">
        <w:lastRenderedPageBreak/>
        <w:t>In the case of a DCC Gateway HV Cloud Connection, once the Site-Specific Design is approved pursuant to Clause 15.27, the DCC shall, as soon as reasonably practicable, but prior to the DCC Gateway Cut-over date, provide the DCC Gateway Party with a deployment handbook and any other onboarding materials and instructions that the DCC deems necessary, which shall describe how a DCC Connect Gateway Connection connects to the DCC Gateway Party’s cloud infrastructure.</w:t>
      </w:r>
      <w:bookmarkEnd w:id="318"/>
    </w:p>
    <w:p w14:paraId="72D25C3E" w14:textId="216DB5C6" w:rsidR="00DB2EE6" w:rsidRPr="007C73A4" w:rsidRDefault="00DB2EE6" w:rsidP="007C73A4">
      <w:pPr>
        <w:pStyle w:val="Heading2"/>
      </w:pPr>
      <w:bookmarkStart w:id="319" w:name="_Toc219897330"/>
      <w:r w:rsidRPr="007C73A4">
        <w:t>No less than 5 Working Days prior to the DCC Gateway Cut-over date, the DCC shall provide the DCC Gateway Party with a</w:t>
      </w:r>
      <w:r w:rsidR="003321EE">
        <w:t>n</w:t>
      </w:r>
      <w:r w:rsidRPr="007C73A4">
        <w:t xml:space="preserve"> </w:t>
      </w:r>
      <w:r w:rsidR="003321EE">
        <w:t>approach for the DCC Gateway Cut-over shall take place</w:t>
      </w:r>
      <w:r w:rsidR="007F4FFA">
        <w:t>,</w:t>
      </w:r>
      <w:r w:rsidRPr="007C73A4">
        <w:t xml:space="preserve"> which shall include the date and time (agreed pursuant to Clauses 15.42</w:t>
      </w:r>
      <w:r w:rsidR="007F4FFA">
        <w:t>, 15.43 (where applicable)</w:t>
      </w:r>
      <w:r w:rsidRPr="007C73A4">
        <w:t xml:space="preserve"> and 15.44) of the DCC Gateway Cut-over, as well as information on the activities that need to take place to execute the DCC Gateway Cut-over.</w:t>
      </w:r>
      <w:bookmarkEnd w:id="319"/>
    </w:p>
    <w:p w14:paraId="0B29A1AD" w14:textId="08E32894" w:rsidR="00DB2EE6" w:rsidRPr="007C73A4" w:rsidRDefault="00DB2EE6" w:rsidP="007C73A4">
      <w:pPr>
        <w:pStyle w:val="Heading2"/>
      </w:pPr>
      <w:bookmarkStart w:id="320" w:name="_Toc219897331"/>
      <w:r w:rsidRPr="007C73A4">
        <w:t xml:space="preserve">No less than 4 Working Days prior to the DCC Gateway Cut-over date, the DCC Gateway Party shall ensure that any activities that the DCC Gateway Party needs to carry out in advance of the DCC Gateway Cut-over as set out in the Site-Specific Design have been undertaken. The DCC Gateway Party and the DCC shall take all reasonable steps to comply with the </w:t>
      </w:r>
      <w:r w:rsidR="007F4FFA">
        <w:t>approach for the DCC Gateway Cut-over</w:t>
      </w:r>
      <w:r w:rsidRPr="007C73A4">
        <w:t>, such that the DCC Gateway Cut-over can commence on the agreed date and time.</w:t>
      </w:r>
      <w:bookmarkEnd w:id="320"/>
    </w:p>
    <w:p w14:paraId="572C13BB" w14:textId="77777777" w:rsidR="00DB2EE6" w:rsidRPr="007C73A4" w:rsidRDefault="00DB2EE6" w:rsidP="007C73A4">
      <w:pPr>
        <w:pStyle w:val="Heading2"/>
      </w:pPr>
      <w:bookmarkStart w:id="321" w:name="_Toc219897332"/>
      <w:r w:rsidRPr="007C73A4">
        <w:t>The DCC Gateway Party may request that the DCC Gateway Cut-over is aborted at any time up to and including the date of the DCC Gateway Cut-over should it determine that the DCC Gateway Cut-over will have a material adverse effect on itself and/or its customers. The DCC shall comply with any such request.</w:t>
      </w:r>
      <w:bookmarkEnd w:id="321"/>
    </w:p>
    <w:p w14:paraId="50FDDB61" w14:textId="77777777" w:rsidR="00DB2EE6" w:rsidRPr="007C73A4" w:rsidRDefault="00DB2EE6" w:rsidP="007C73A4">
      <w:pPr>
        <w:pStyle w:val="Heading2"/>
      </w:pPr>
      <w:bookmarkStart w:id="322" w:name="_Toc219897333"/>
      <w:r w:rsidRPr="007C73A4">
        <w:t>Where the DCC Gateway Cut-over is unsuccessful, the DCC Gateway Party shall revert to communications with the DCC via the Legacy Gateway Connection and the DCC shall assist the DCC Gateway Party with that process including confirmation of it successfully completing. The DCC shall determine why the DCC Gateway Cut-over was unsuccessful and shall as soon as reasonably practicable inform the DCC Gateway Party of those reasons.</w:t>
      </w:r>
      <w:bookmarkEnd w:id="322"/>
    </w:p>
    <w:p w14:paraId="35D5E80A" w14:textId="7D3E8E8D" w:rsidR="00DB2EE6" w:rsidRPr="007C73A4" w:rsidRDefault="00DB2EE6" w:rsidP="007C73A4">
      <w:pPr>
        <w:pStyle w:val="Heading2"/>
      </w:pPr>
      <w:bookmarkStart w:id="323" w:name="_Toc219897334"/>
      <w:r w:rsidRPr="007C73A4">
        <w:t xml:space="preserve">Where a DCC Gateway Cut-over is aborted in accordance with Clause 15.51 or is unsuccessful in accordance with Clause 15.52 the back-up date shall become the </w:t>
      </w:r>
      <w:r w:rsidR="00030BE4">
        <w:t>DCC Gateway Cut-over</w:t>
      </w:r>
      <w:r w:rsidR="00030BE4" w:rsidRPr="007C73A4">
        <w:t xml:space="preserve"> </w:t>
      </w:r>
      <w:r w:rsidRPr="007C73A4">
        <w:t xml:space="preserve">date and the DCC and the DCC Gateway Party shall take all </w:t>
      </w:r>
      <w:r w:rsidRPr="007C73A4">
        <w:lastRenderedPageBreak/>
        <w:t>reasonable steps to agree a new back-up date for the DCC Gateway Cut-over pursuant to Clause 15.45.</w:t>
      </w:r>
      <w:bookmarkEnd w:id="323"/>
    </w:p>
    <w:p w14:paraId="6A338C44" w14:textId="77777777" w:rsidR="00DB2EE6" w:rsidRPr="007C73A4" w:rsidRDefault="00DB2EE6" w:rsidP="007C73A4">
      <w:pPr>
        <w:pStyle w:val="Body2"/>
        <w:ind w:left="720"/>
        <w:rPr>
          <w:b/>
          <w:bCs/>
        </w:rPr>
      </w:pPr>
      <w:r w:rsidRPr="007C73A4">
        <w:rPr>
          <w:b/>
          <w:bCs/>
        </w:rPr>
        <w:t>Legacy Gateway Connection Backstop Date</w:t>
      </w:r>
    </w:p>
    <w:p w14:paraId="5698F53A" w14:textId="3F67AF2B" w:rsidR="00DB2EE6" w:rsidRPr="007C73A4" w:rsidRDefault="00DB2EE6" w:rsidP="007C73A4">
      <w:pPr>
        <w:pStyle w:val="Heading2"/>
      </w:pPr>
      <w:bookmarkStart w:id="324" w:name="_Toc219897335"/>
      <w:r w:rsidRPr="007C73A4">
        <w:t>Subject to Clause 15.6</w:t>
      </w:r>
      <w:r w:rsidR="007F4FFA">
        <w:t>5</w:t>
      </w:r>
      <w:r w:rsidRPr="007C73A4">
        <w:t>, the DCC shall cease to send and receive communications via each remaining Legacy Gateway Connection on the Legacy Gateway Connection Backstop Date applicable to the Legacy Gateway Connection.</w:t>
      </w:r>
      <w:bookmarkEnd w:id="324"/>
    </w:p>
    <w:p w14:paraId="45049AD2" w14:textId="77777777" w:rsidR="00DB2EE6" w:rsidRPr="007C73A4" w:rsidRDefault="00DB2EE6" w:rsidP="007C73A4">
      <w:pPr>
        <w:pStyle w:val="Heading2"/>
      </w:pPr>
      <w:bookmarkStart w:id="325" w:name="_Toc219897336"/>
      <w:r w:rsidRPr="007C73A4">
        <w:t>Where at any time the DCC or a DCC Gateway Party considers that any of the relevant DCC Gateway Party’s Legacy Gateway Connections will not or is unlikely to achieve DCC Gateway Cut-over by the applicable Legacy Gateway Connection Backstop Date, they shall, as soon as reasonably practicable, notify the other party.</w:t>
      </w:r>
      <w:bookmarkEnd w:id="325"/>
    </w:p>
    <w:p w14:paraId="5CB44194" w14:textId="77777777" w:rsidR="00DB2EE6" w:rsidRPr="007C73A4" w:rsidRDefault="00DB2EE6" w:rsidP="007C73A4">
      <w:pPr>
        <w:pStyle w:val="Heading2"/>
      </w:pPr>
      <w:bookmarkStart w:id="326" w:name="_Toc219897337"/>
      <w:r w:rsidRPr="007C73A4">
        <w:t>In respect of each Legacy Gateway Connection that has not yet completed DCC Gateway Cut-over and which is not the subject of a notification  made pursuant to Clause 15.55, the DCC and each DCC Gateway Party shall, between 120 and 90 days before the applicable Legacy Gateway Connection Backstop Date, consider whether the DCC Gateway Party’s Legacy Gateway Connection will not or is unlikely to achieve DCC Gateway Cut-over by the applicable Legacy Gateway Connection Backstop Date. Should the DCC or any DCC Gateway Party consider that DCC Gateway Cut-over in respect of a DCC Gateway Party’s Legacy Gateway Connection will not or is unlikely to be achieved by the applicable Legacy Gateway Connection Backstop Date, the DCC or the relevant DCC Gateway Party shall notify the other party to this effect.</w:t>
      </w:r>
      <w:bookmarkEnd w:id="326"/>
    </w:p>
    <w:p w14:paraId="0A44BC10" w14:textId="3486C9FF" w:rsidR="00DB2EE6" w:rsidRPr="007C73A4" w:rsidRDefault="00DB2EE6" w:rsidP="007C73A4">
      <w:pPr>
        <w:pStyle w:val="Heading2"/>
      </w:pPr>
      <w:bookmarkStart w:id="327" w:name="_Toc219897338"/>
      <w:r w:rsidRPr="007C73A4">
        <w:t xml:space="preserve">Any notification made by the DCC or a DCC Gateway Party under Clause 15.55 or 15.56 must include reasons why the DCC Gateway Party’s Legacy Gateway Connection </w:t>
      </w:r>
      <w:r w:rsidR="00F1644A">
        <w:t>will</w:t>
      </w:r>
      <w:r w:rsidR="00F1644A" w:rsidRPr="007C73A4">
        <w:t xml:space="preserve"> </w:t>
      </w:r>
      <w:r w:rsidRPr="007C73A4">
        <w:t>not or is not likely to achieve DCC Gateway Cut-over in time, and whether the DCC or the DCC Gateway Party believes it would be appropriate for the DCC to continue communications via the Legacy Gateway Connection past the applicable Legacy Gateway Connection Backstop Date.</w:t>
      </w:r>
      <w:bookmarkEnd w:id="327"/>
    </w:p>
    <w:p w14:paraId="09EF5781" w14:textId="77777777" w:rsidR="00DB2EE6" w:rsidRPr="007C73A4" w:rsidRDefault="00DB2EE6" w:rsidP="007C73A4">
      <w:pPr>
        <w:pStyle w:val="Heading2"/>
      </w:pPr>
      <w:bookmarkStart w:id="328" w:name="_Toc219897339"/>
      <w:r w:rsidRPr="007C73A4">
        <w:t xml:space="preserve">No later than 10 Working Days following its sending or its receipt of a notification under Clause 15.55 or 15.56, </w:t>
      </w:r>
      <w:r w:rsidRPr="00E5104B">
        <w:t xml:space="preserve"> </w:t>
      </w:r>
      <w:r w:rsidRPr="007C73A4">
        <w:t xml:space="preserve">the DCC shall notify the DCC Gateway Party in writing of a date after the current Legacy Gateway Connection Backstop Date on which communications via the relevant Legacy Gateway Connection shall be terminated by </w:t>
      </w:r>
      <w:r w:rsidRPr="007C73A4">
        <w:lastRenderedPageBreak/>
        <w:t>the DCC, or why the DCC considers that no such date should apply and that communications should cease on the current Legacy Gateway Connection Backstop Date. The DCC’s notification shall include its rationale for its decision as well as information on the referral process set out in Clause 15.60.</w:t>
      </w:r>
      <w:bookmarkEnd w:id="328"/>
    </w:p>
    <w:p w14:paraId="3DFCB15A" w14:textId="77777777" w:rsidR="00DB2EE6" w:rsidRPr="007C73A4" w:rsidRDefault="00DB2EE6" w:rsidP="007C73A4">
      <w:pPr>
        <w:pStyle w:val="Heading2"/>
      </w:pPr>
      <w:bookmarkStart w:id="329" w:name="_Toc219897340"/>
      <w:r w:rsidRPr="007C73A4">
        <w:t>Subject to Clauses 15.61 and 15.62, where the DCC notifies a date after the current Legacy Gateway Connection Backstop Date for a Legacy Gateway Connection, the notified date shall become the Legacy Gateway Connection Backstop Date for the relevant Legacy Gateway Connection, and in the absence of notifying such a date the existing Legacy Gateway Connection Backstop Date shall remain unchanged.</w:t>
      </w:r>
      <w:bookmarkEnd w:id="329"/>
    </w:p>
    <w:p w14:paraId="222C9A18" w14:textId="77777777" w:rsidR="00DB2EE6" w:rsidRPr="007C73A4" w:rsidRDefault="00DB2EE6" w:rsidP="007C73A4">
      <w:pPr>
        <w:pStyle w:val="Heading2"/>
      </w:pPr>
      <w:bookmarkStart w:id="330" w:name="_Toc219897341"/>
      <w:r w:rsidRPr="007C73A4">
        <w:t>No later than 10 Working Days following DCC having sent its decision to the DCC Gateway Party pursuant to Clause 15.58, where the DCC Gateway Party disagrees with the DCC’s decision (of either the later date or that no such date should be provided), the matter may be referred by the DCC Gateway Party to the Secretary of State for determination. Any such referral shall include:</w:t>
      </w:r>
      <w:bookmarkEnd w:id="330"/>
    </w:p>
    <w:p w14:paraId="242060BD" w14:textId="77777777" w:rsidR="00DB2EE6" w:rsidRPr="00363CA8" w:rsidRDefault="00DB2EE6" w:rsidP="00363CA8">
      <w:pPr>
        <w:pStyle w:val="Heading3"/>
      </w:pPr>
      <w:bookmarkStart w:id="331" w:name="_Toc219897342"/>
      <w:r w:rsidRPr="00363CA8">
        <w:t>reasons why the DCC Gateway Party believes that each relevant Legacy Gateway Connection will not or is unlikely to achieve DCC Gateway Cut-over by the respective Legacy Gateway Connection Backstop Date or by the date given by the DCC pursuant to Clause 15.58 (as the case may be</w:t>
      </w:r>
      <w:proofErr w:type="gramStart"/>
      <w:r w:rsidRPr="00363CA8">
        <w:t>);</w:t>
      </w:r>
      <w:bookmarkEnd w:id="331"/>
      <w:proofErr w:type="gramEnd"/>
    </w:p>
    <w:p w14:paraId="092BFA38" w14:textId="77777777" w:rsidR="00DB2EE6" w:rsidRPr="00363CA8" w:rsidRDefault="00DB2EE6" w:rsidP="00363CA8">
      <w:pPr>
        <w:pStyle w:val="Heading3"/>
      </w:pPr>
      <w:bookmarkStart w:id="332" w:name="_Toc219897343"/>
      <w:r w:rsidRPr="00363CA8">
        <w:t>the rationale provided by the DCC to justify its decision pursuant to Clause 15.58; and</w:t>
      </w:r>
      <w:bookmarkEnd w:id="332"/>
    </w:p>
    <w:p w14:paraId="772AFBB9" w14:textId="77777777" w:rsidR="00DB2EE6" w:rsidRPr="00363CA8" w:rsidRDefault="00DB2EE6" w:rsidP="00363CA8">
      <w:pPr>
        <w:pStyle w:val="Heading3"/>
      </w:pPr>
      <w:bookmarkStart w:id="333" w:name="_Toc219897344"/>
      <w:r w:rsidRPr="00363CA8">
        <w:t>any other relevant information.</w:t>
      </w:r>
      <w:bookmarkEnd w:id="333"/>
    </w:p>
    <w:p w14:paraId="4707F00D" w14:textId="77777777" w:rsidR="00DB2EE6" w:rsidRPr="00363CA8" w:rsidRDefault="00DB2EE6" w:rsidP="00363CA8">
      <w:pPr>
        <w:pStyle w:val="Heading2"/>
        <w:numPr>
          <w:ilvl w:val="0"/>
          <w:numId w:val="0"/>
        </w:numPr>
        <w:ind w:left="709"/>
      </w:pPr>
      <w:bookmarkStart w:id="334" w:name="_Toc219897345"/>
      <w:r w:rsidRPr="00363CA8">
        <w:t xml:space="preserve">The Secretary of State shall either uphold the DCC </w:t>
      </w:r>
      <w:proofErr w:type="gramStart"/>
      <w:r w:rsidRPr="00363CA8">
        <w:t>decision, or</w:t>
      </w:r>
      <w:proofErr w:type="gramEnd"/>
      <w:r w:rsidRPr="00363CA8">
        <w:t xml:space="preserve"> request the DCC to provide an alternative date to the DCC Gateway Party.</w:t>
      </w:r>
      <w:bookmarkEnd w:id="334"/>
    </w:p>
    <w:p w14:paraId="169108B4" w14:textId="77777777" w:rsidR="00DB2EE6" w:rsidRPr="007C73A4" w:rsidRDefault="00DB2EE6" w:rsidP="007C73A4">
      <w:pPr>
        <w:pStyle w:val="Heading2"/>
      </w:pPr>
      <w:bookmarkStart w:id="335" w:name="_Toc219897346"/>
      <w:r w:rsidRPr="007C73A4">
        <w:t xml:space="preserve">Where the Secretary of State upholds the DCC decision, the Legacy Gateway Connection Backstop Date for the relevant Legacy Gateway Connection shall be amended to be the later </w:t>
      </w:r>
      <w:proofErr w:type="gramStart"/>
      <w:r w:rsidRPr="007C73A4">
        <w:t>date, or</w:t>
      </w:r>
      <w:proofErr w:type="gramEnd"/>
      <w:r w:rsidRPr="007C73A4">
        <w:t xml:space="preserve"> remain unchanged (depending respectively upon whether the DCC’s decision was to provide a later date or not to do so).</w:t>
      </w:r>
      <w:bookmarkEnd w:id="335"/>
    </w:p>
    <w:p w14:paraId="55079D08" w14:textId="394B8B1A" w:rsidR="00DB2EE6" w:rsidRPr="007C73A4" w:rsidRDefault="00DB2EE6" w:rsidP="007C73A4">
      <w:pPr>
        <w:pStyle w:val="Heading2"/>
      </w:pPr>
      <w:bookmarkStart w:id="336" w:name="_Toc219897347"/>
      <w:r w:rsidRPr="007C73A4">
        <w:t xml:space="preserve">Where the Secretary of State requests the DCC to provide an alternative date to the DCC Gateway Party, the DCC shall do so </w:t>
      </w:r>
      <w:r w:rsidR="00F144B1">
        <w:rPr>
          <w:rFonts w:cs="Times New Roman"/>
        </w:rPr>
        <w:t xml:space="preserve">and provide its rationale for this alternative </w:t>
      </w:r>
      <w:r w:rsidR="00F144B1">
        <w:rPr>
          <w:rFonts w:cs="Times New Roman"/>
        </w:rPr>
        <w:lastRenderedPageBreak/>
        <w:t xml:space="preserve">date </w:t>
      </w:r>
      <w:r w:rsidRPr="007C73A4">
        <w:t>no later than 10 Working Days after the request from the Secretary of State and Clauses 15.59 to 15.61 shall apply to any new date notified to the DCC Gateway Party by the DCC.</w:t>
      </w:r>
      <w:bookmarkEnd w:id="336"/>
    </w:p>
    <w:p w14:paraId="20202C3A" w14:textId="77777777" w:rsidR="00DB2EE6" w:rsidRPr="007C73A4" w:rsidRDefault="00DB2EE6" w:rsidP="007C73A4">
      <w:pPr>
        <w:pStyle w:val="Heading2"/>
      </w:pPr>
      <w:bookmarkStart w:id="337" w:name="_Toc219897348"/>
      <w:r w:rsidRPr="007C73A4">
        <w:t xml:space="preserve">The DCC and each relevant DCC Gateway Party shall provide such additional information as the Secretary of State may reasonably request, and in such timescales as may be reasonably requested, </w:t>
      </w:r>
      <w:proofErr w:type="gramStart"/>
      <w:r w:rsidRPr="007C73A4">
        <w:t>in order to</w:t>
      </w:r>
      <w:proofErr w:type="gramEnd"/>
      <w:r w:rsidRPr="007C73A4">
        <w:t xml:space="preserve"> support the Secretary of State in </w:t>
      </w:r>
      <w:proofErr w:type="gramStart"/>
      <w:r w:rsidRPr="007C73A4">
        <w:t>making a determination</w:t>
      </w:r>
      <w:proofErr w:type="gramEnd"/>
      <w:r w:rsidRPr="007C73A4">
        <w:t xml:space="preserve"> under Clause 15.60.</w:t>
      </w:r>
      <w:bookmarkEnd w:id="337"/>
    </w:p>
    <w:p w14:paraId="0D4D6B44" w14:textId="22242B54" w:rsidR="00DB2EE6" w:rsidRPr="007C73A4" w:rsidRDefault="00DB2EE6" w:rsidP="007C73A4">
      <w:pPr>
        <w:pStyle w:val="Heading2"/>
      </w:pPr>
      <w:bookmarkStart w:id="338" w:name="_Toc219897349"/>
      <w:r w:rsidRPr="007C73A4">
        <w:t xml:space="preserve">Where a Legacy Gateway Connection has been the subject of the process set out in Clauses 15.55 to 15.63 the obligation in Clause 15.55 shall continue to apply and therefore the process set out in Clauses 15.57 to 15.62 shall be repeated should there be a risk that the </w:t>
      </w:r>
      <w:r w:rsidR="00BA0AB3" w:rsidRPr="00BA0AB3">
        <w:t xml:space="preserve">Legacy Gateway Connection will not be replaced or that Cut-over will not occur prior to the </w:t>
      </w:r>
      <w:r w:rsidRPr="007C73A4">
        <w:t>Legacy Gateway Connection Backstop Date.</w:t>
      </w:r>
      <w:bookmarkEnd w:id="338"/>
    </w:p>
    <w:p w14:paraId="6E18BA09" w14:textId="77777777" w:rsidR="00DB2EE6" w:rsidRPr="007C73A4" w:rsidRDefault="00DB2EE6" w:rsidP="007C73A4">
      <w:pPr>
        <w:pStyle w:val="Heading2"/>
      </w:pPr>
      <w:bookmarkStart w:id="339" w:name="_Toc219897350"/>
      <w:r w:rsidRPr="007C73A4">
        <w:t>The DCC shall continue to communicate with a DCC Gateway Party over a Legacy Gateway Connection after the Legacy Gateway Connection Backstop Date for that Legacy Gateway Connection has passed (in either case, where relevant):</w:t>
      </w:r>
      <w:bookmarkEnd w:id="339"/>
    </w:p>
    <w:p w14:paraId="45A5DD29" w14:textId="609F08E9" w:rsidR="00DB2EE6" w:rsidRDefault="00DB2EE6" w:rsidP="008812C9">
      <w:pPr>
        <w:pStyle w:val="Heading3"/>
      </w:pPr>
      <w:bookmarkStart w:id="340" w:name="_Toc219897351"/>
      <w:r>
        <w:t>in the period from the date upon which the Secretary of State requests the DCC to provide an alternative date pursuant to Clause 15.6</w:t>
      </w:r>
      <w:r w:rsidR="00E75C42">
        <w:t>0</w:t>
      </w:r>
      <w:r>
        <w:t xml:space="preserve"> and the earlier of (a) the day that falls 10 Working Days after the alternative date is notified to the relevant DCC Gateway Party by the DCC; and (b) the date that any referral is made to the Secretary of State pursuant to Clause 15.60; and</w:t>
      </w:r>
      <w:bookmarkEnd w:id="340"/>
    </w:p>
    <w:p w14:paraId="07224B55" w14:textId="77777777" w:rsidR="00DB2EE6" w:rsidRPr="00146851" w:rsidRDefault="00DB2EE6" w:rsidP="008812C9">
      <w:pPr>
        <w:pStyle w:val="Heading3"/>
      </w:pPr>
      <w:bookmarkStart w:id="341" w:name="_Toc219897352"/>
      <w:r>
        <w:t xml:space="preserve">in the period from the date of any referral under Clause 15.60 and </w:t>
      </w:r>
      <w:r w:rsidRPr="009E6203">
        <w:t>the date of any determination by the Secretary of State pursuant to Clause 15.</w:t>
      </w:r>
      <w:r>
        <w:t>60.</w:t>
      </w:r>
      <w:bookmarkEnd w:id="341"/>
    </w:p>
    <w:p w14:paraId="49B0C2C3" w14:textId="77777777" w:rsidR="00DB2EE6" w:rsidRPr="007C73A4" w:rsidRDefault="00DB2EE6" w:rsidP="007C73A4">
      <w:pPr>
        <w:pStyle w:val="Body2"/>
        <w:ind w:left="720"/>
        <w:rPr>
          <w:b/>
          <w:bCs/>
        </w:rPr>
      </w:pPr>
      <w:r w:rsidRPr="007C73A4">
        <w:rPr>
          <w:b/>
          <w:bCs/>
        </w:rPr>
        <w:t>Removal of DCC Gateway Equipment</w:t>
      </w:r>
    </w:p>
    <w:p w14:paraId="1D2C863D" w14:textId="77777777" w:rsidR="00DB2EE6" w:rsidRPr="007C73A4" w:rsidRDefault="00DB2EE6" w:rsidP="007C73A4">
      <w:pPr>
        <w:pStyle w:val="Heading2"/>
      </w:pPr>
      <w:bookmarkStart w:id="342" w:name="_Toc219897353"/>
      <w:r w:rsidRPr="007C73A4">
        <w:t>Once the DCC Gateway Cut-over has been successfully executed, DCC shall remove the equipment of the Legacy Gateway Connection in accordance with Clause 1.14 of Appendix G (DCC Gateway Connection Code of Connection) in the modified form set out in Annex 4.</w:t>
      </w:r>
      <w:bookmarkEnd w:id="342"/>
    </w:p>
    <w:p w14:paraId="50268C01" w14:textId="77777777" w:rsidR="00DB2EE6" w:rsidRPr="007C73A4" w:rsidRDefault="00DB2EE6" w:rsidP="007C73A4">
      <w:pPr>
        <w:pStyle w:val="Body2"/>
        <w:ind w:left="720"/>
        <w:rPr>
          <w:b/>
          <w:bCs/>
        </w:rPr>
      </w:pPr>
      <w:r w:rsidRPr="007C73A4">
        <w:rPr>
          <w:b/>
          <w:bCs/>
        </w:rPr>
        <w:t>Provision of Information to the DCC</w:t>
      </w:r>
    </w:p>
    <w:p w14:paraId="71D5E4E4" w14:textId="77777777" w:rsidR="00DB2EE6" w:rsidRPr="007C73A4" w:rsidRDefault="00DB2EE6" w:rsidP="007C73A4">
      <w:pPr>
        <w:pStyle w:val="Heading2"/>
      </w:pPr>
      <w:bookmarkStart w:id="343" w:name="_Toc219897354"/>
      <w:r w:rsidRPr="007C73A4">
        <w:t xml:space="preserve">Each DCC Gateway Party shall, on request from the DCC and within such reasonable </w:t>
      </w:r>
      <w:r w:rsidRPr="007C73A4">
        <w:lastRenderedPageBreak/>
        <w:t>time period as the DCC may specify, provide such information as may be reasonably required by the DCC to enable it to plan, co-ordinate, undertake, and remedy issues (and provide ongoing support for) the DCC Gateway Cut-over of each of its Legacy Gateway Connections.</w:t>
      </w:r>
      <w:bookmarkEnd w:id="343"/>
    </w:p>
    <w:p w14:paraId="35BAF990" w14:textId="77777777" w:rsidR="00DB2EE6" w:rsidRPr="007C73A4" w:rsidRDefault="00DB2EE6" w:rsidP="007C73A4">
      <w:pPr>
        <w:pStyle w:val="Body2"/>
        <w:ind w:left="720"/>
        <w:rPr>
          <w:b/>
          <w:bCs/>
        </w:rPr>
      </w:pPr>
      <w:r w:rsidRPr="007C73A4">
        <w:rPr>
          <w:b/>
          <w:bCs/>
        </w:rPr>
        <w:t>Transitional charges</w:t>
      </w:r>
    </w:p>
    <w:p w14:paraId="6104D12B" w14:textId="77777777" w:rsidR="00DB2EE6" w:rsidRPr="007C73A4" w:rsidRDefault="00DB2EE6" w:rsidP="007C73A4">
      <w:pPr>
        <w:pStyle w:val="Heading2"/>
      </w:pPr>
      <w:bookmarkStart w:id="344" w:name="_Toc219897355"/>
      <w:r w:rsidRPr="007C73A4">
        <w:t>Each DCC Gateway Party shall pay the applicable connection charges to the DCC for each of their DCC Connect Gateway Connections as set out in Annex 5 of this NETMAD, subject to the variations set out below.</w:t>
      </w:r>
      <w:bookmarkEnd w:id="344"/>
    </w:p>
    <w:p w14:paraId="10D93FE2" w14:textId="77777777" w:rsidR="00DB2EE6" w:rsidRPr="007C73A4" w:rsidRDefault="00DB2EE6" w:rsidP="007C73A4">
      <w:pPr>
        <w:pStyle w:val="Heading2"/>
      </w:pPr>
      <w:bookmarkStart w:id="345" w:name="_Toc219897356"/>
      <w:r w:rsidRPr="007C73A4">
        <w:t>Where a DCC Gateway Party’s Legacy Gateway Connection has been replaced with a DCC Connect Gateway Connection before the end of the connection period for that Legacy Gateway Connection, no annual charges will be levied on the DCC Gateway Party in respect of its DCC Connect Gateway Connection until the first Working Day after the last day of the connection period for the relevant Legacy Gateway Connection. The annual charge to be paid by the DCC Gateway Party in accordance with the Charging Statement in respect of the first year of its DCC Connect Gateway Connection shall be adjusted as follows:</w:t>
      </w:r>
      <w:bookmarkEnd w:id="345"/>
    </w:p>
    <w:p w14:paraId="79746BBC" w14:textId="77777777" w:rsidR="00DB2EE6" w:rsidRPr="00363CA8" w:rsidRDefault="00DB2EE6" w:rsidP="00363CA8">
      <w:pPr>
        <w:pStyle w:val="Heading3"/>
        <w:numPr>
          <w:ilvl w:val="0"/>
          <w:numId w:val="0"/>
        </w:numPr>
        <w:ind w:left="1224" w:hanging="504"/>
      </w:pPr>
      <w:bookmarkStart w:id="346" w:name="_Toc219897357"/>
      <w:r w:rsidRPr="00363CA8">
        <w:t xml:space="preserve">AAC = FAC * </w:t>
      </w:r>
      <w:proofErr w:type="gramStart"/>
      <w:r w:rsidRPr="00363CA8">
        <w:t>( 1</w:t>
      </w:r>
      <w:proofErr w:type="gramEnd"/>
      <w:r w:rsidRPr="00363CA8">
        <w:t xml:space="preserve"> - </w:t>
      </w:r>
      <w:proofErr w:type="gramStart"/>
      <w:r w:rsidRPr="00363CA8">
        <w:t>( LDR</w:t>
      </w:r>
      <w:proofErr w:type="gramEnd"/>
      <w:r w:rsidRPr="00363CA8">
        <w:t xml:space="preserve"> / </w:t>
      </w:r>
      <w:proofErr w:type="gramStart"/>
      <w:r w:rsidRPr="00363CA8">
        <w:t>365 )</w:t>
      </w:r>
      <w:proofErr w:type="gramEnd"/>
      <w:r w:rsidRPr="00363CA8">
        <w:t xml:space="preserve"> )</w:t>
      </w:r>
      <w:bookmarkEnd w:id="346"/>
    </w:p>
    <w:p w14:paraId="0255F2B4" w14:textId="77777777" w:rsidR="00DB2EE6" w:rsidRPr="00363CA8" w:rsidRDefault="00DB2EE6" w:rsidP="00363CA8">
      <w:pPr>
        <w:pStyle w:val="Heading3"/>
        <w:numPr>
          <w:ilvl w:val="0"/>
          <w:numId w:val="0"/>
        </w:numPr>
        <w:ind w:left="1224" w:hanging="504"/>
      </w:pPr>
      <w:bookmarkStart w:id="347" w:name="_Toc219897358"/>
      <w:r w:rsidRPr="00363CA8">
        <w:t>Where:</w:t>
      </w:r>
      <w:bookmarkEnd w:id="347"/>
    </w:p>
    <w:p w14:paraId="364C89FB" w14:textId="77777777" w:rsidR="00DB2EE6" w:rsidRPr="00363CA8" w:rsidRDefault="00DB2EE6" w:rsidP="00363CA8">
      <w:pPr>
        <w:pStyle w:val="Heading3"/>
        <w:numPr>
          <w:ilvl w:val="0"/>
          <w:numId w:val="0"/>
        </w:numPr>
        <w:ind w:left="1224" w:hanging="504"/>
      </w:pPr>
      <w:bookmarkStart w:id="348" w:name="_Toc219897359"/>
      <w:r w:rsidRPr="00363CA8">
        <w:t xml:space="preserve">AAC is the adjusted annual charge to be paid by the DCC Gateway </w:t>
      </w:r>
      <w:proofErr w:type="gramStart"/>
      <w:r w:rsidRPr="00363CA8">
        <w:t>Party;</w:t>
      </w:r>
      <w:bookmarkEnd w:id="348"/>
      <w:proofErr w:type="gramEnd"/>
    </w:p>
    <w:p w14:paraId="31562A91" w14:textId="77777777" w:rsidR="00DB2EE6" w:rsidRPr="00363CA8" w:rsidRDefault="00DB2EE6" w:rsidP="00363CA8">
      <w:pPr>
        <w:pStyle w:val="Heading3"/>
        <w:numPr>
          <w:ilvl w:val="0"/>
          <w:numId w:val="0"/>
        </w:numPr>
        <w:ind w:left="1224" w:hanging="504"/>
      </w:pPr>
      <w:bookmarkStart w:id="349" w:name="_Toc219897360"/>
      <w:r w:rsidRPr="00363CA8">
        <w:t>FAC is the full annual charge due to be paid by the DCC Gateway Party; and</w:t>
      </w:r>
      <w:bookmarkEnd w:id="349"/>
    </w:p>
    <w:p w14:paraId="51ABD8FD" w14:textId="7F2CC345" w:rsidR="00DB2EE6" w:rsidRPr="00363CA8" w:rsidRDefault="00DB2EE6" w:rsidP="008812C9">
      <w:pPr>
        <w:pStyle w:val="Heading3"/>
        <w:numPr>
          <w:ilvl w:val="0"/>
          <w:numId w:val="0"/>
        </w:numPr>
        <w:ind w:left="720"/>
      </w:pPr>
      <w:bookmarkStart w:id="350" w:name="_Toc219897361"/>
      <w:r w:rsidRPr="00363CA8">
        <w:t>LDR is the number of days remaining in the connection period for the relevant Legacy</w:t>
      </w:r>
      <w:r w:rsidR="00363CA8">
        <w:t xml:space="preserve"> </w:t>
      </w:r>
      <w:r w:rsidRPr="00363CA8">
        <w:t>Gateway Connection at the time of the DCC Gateway Cut-over.</w:t>
      </w:r>
      <w:bookmarkEnd w:id="350"/>
    </w:p>
    <w:p w14:paraId="48B0335B" w14:textId="77777777" w:rsidR="00DB2EE6" w:rsidRPr="007C73A4" w:rsidRDefault="00DB2EE6" w:rsidP="007C73A4">
      <w:pPr>
        <w:pStyle w:val="Body2"/>
        <w:ind w:left="720"/>
        <w:rPr>
          <w:b/>
          <w:bCs/>
        </w:rPr>
      </w:pPr>
      <w:r w:rsidRPr="007C73A4">
        <w:rPr>
          <w:b/>
          <w:bCs/>
        </w:rPr>
        <w:t>Explicit Charges</w:t>
      </w:r>
    </w:p>
    <w:p w14:paraId="2AAF14E8" w14:textId="77777777" w:rsidR="00DB2EE6" w:rsidRPr="007C73A4" w:rsidRDefault="00DB2EE6" w:rsidP="007C73A4">
      <w:pPr>
        <w:pStyle w:val="Heading2"/>
      </w:pPr>
      <w:bookmarkStart w:id="351" w:name="_Toc219897362"/>
      <w:r w:rsidRPr="007C73A4">
        <w:t>An Explicit Charge shall be payable by a DCC Gateway Party to the DCC in circumstances where:</w:t>
      </w:r>
      <w:bookmarkEnd w:id="351"/>
    </w:p>
    <w:p w14:paraId="19C1E2DF" w14:textId="77777777" w:rsidR="00DB2EE6" w:rsidRPr="008812C9" w:rsidRDefault="00DB2EE6" w:rsidP="0087541E">
      <w:pPr>
        <w:pStyle w:val="Heading3"/>
      </w:pPr>
      <w:bookmarkStart w:id="352" w:name="_Toc219897363"/>
      <w:r w:rsidRPr="00D6257C">
        <w:t xml:space="preserve">The DCC Gateway Party has accepted an offer for a DCC Connect Gateway Connection and associated DCC Gateway Bandwidth Option (and where applicable, speed) pursuant to this Clauses 15 (Migration from a Legacy Gateway </w:t>
      </w:r>
      <w:r w:rsidRPr="00D6257C">
        <w:lastRenderedPageBreak/>
        <w:t>Connection to a DCC Connect Gateway Connection</w:t>
      </w:r>
      <w:proofErr w:type="gramStart"/>
      <w:r w:rsidRPr="00D6257C">
        <w:t>);</w:t>
      </w:r>
      <w:bookmarkEnd w:id="352"/>
      <w:proofErr w:type="gramEnd"/>
    </w:p>
    <w:p w14:paraId="3E294FA4" w14:textId="77777777" w:rsidR="00DB2EE6" w:rsidRPr="008812C9" w:rsidRDefault="00DB2EE6" w:rsidP="0087541E">
      <w:pPr>
        <w:pStyle w:val="Heading3"/>
      </w:pPr>
      <w:r w:rsidRPr="00D6257C">
        <w:t xml:space="preserve"> </w:t>
      </w:r>
      <w:bookmarkStart w:id="353" w:name="_Toc219897364"/>
      <w:r w:rsidRPr="00D6257C">
        <w:t xml:space="preserve">the DCC has incurred costs in making a visit to the premises of a DCC Gateway Party in order to carry out a Site Survey; or to install DCC Connect Gateway Equipment, and </w:t>
      </w:r>
      <w:r>
        <w:t xml:space="preserve">includes where </w:t>
      </w:r>
      <w:r w:rsidRPr="00D6257C">
        <w:t>the DCC has been unable to complete the purpose of the visit due to the actions (or inaction) of a DCC Gateway Party, or in circumstances where a site visit has occurred and the DCC Gateway Party has elected not to accept DCC’s offer; or</w:t>
      </w:r>
      <w:bookmarkEnd w:id="353"/>
    </w:p>
    <w:p w14:paraId="51E11D1F" w14:textId="77777777" w:rsidR="00DB2EE6" w:rsidRPr="008812C9" w:rsidRDefault="00DB2EE6" w:rsidP="0087541E">
      <w:pPr>
        <w:pStyle w:val="Heading3"/>
      </w:pPr>
      <w:bookmarkStart w:id="354" w:name="_Toc219897365"/>
      <w:r w:rsidRPr="00D6257C">
        <w:t>the DCC has incurred costs in carrying out a Site-Specific Risk Assessment on a DCC Gateway Connection at the request of a Party pursuant to Clause 15.</w:t>
      </w:r>
      <w:r>
        <w:t>8</w:t>
      </w:r>
      <w:r w:rsidRPr="00D6257C">
        <w:t>.</w:t>
      </w:r>
      <w:bookmarkEnd w:id="354"/>
    </w:p>
    <w:p w14:paraId="4A1117AB" w14:textId="77777777" w:rsidR="00DB2EE6" w:rsidRPr="00DB2EE6" w:rsidRDefault="00DB2EE6" w:rsidP="00DB2EE6">
      <w:pPr>
        <w:pStyle w:val="Body2"/>
      </w:pPr>
    </w:p>
    <w:p w14:paraId="6B2C16C6" w14:textId="77777777" w:rsidR="003D3547" w:rsidRPr="003D3547" w:rsidRDefault="003D3547" w:rsidP="003D3547">
      <w:pPr>
        <w:pStyle w:val="Body2"/>
        <w:ind w:left="0"/>
      </w:pPr>
    </w:p>
    <w:sectPr w:rsidR="003D3547" w:rsidRPr="003D3547" w:rsidSect="00B6702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C7ABD" w14:textId="77777777" w:rsidR="004D6AC3" w:rsidRDefault="004D6AC3">
      <w:r>
        <w:separator/>
      </w:r>
    </w:p>
    <w:p w14:paraId="345D99D9" w14:textId="77777777" w:rsidR="004D6AC3" w:rsidRDefault="004D6AC3"/>
  </w:endnote>
  <w:endnote w:type="continuationSeparator" w:id="0">
    <w:p w14:paraId="15865978" w14:textId="77777777" w:rsidR="004D6AC3" w:rsidRDefault="004D6AC3">
      <w:r>
        <w:continuationSeparator/>
      </w:r>
    </w:p>
    <w:p w14:paraId="5E230E1C" w14:textId="77777777" w:rsidR="004D6AC3" w:rsidRDefault="004D6AC3"/>
  </w:endnote>
  <w:endnote w:type="continuationNotice" w:id="1">
    <w:p w14:paraId="359D765B" w14:textId="77777777" w:rsidR="004D6AC3" w:rsidRDefault="004D6AC3"/>
    <w:p w14:paraId="74D25B1F" w14:textId="77777777" w:rsidR="004D6AC3" w:rsidRDefault="004D6A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xpert 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E7264" w14:textId="1E625D7F" w:rsidR="007C3C25" w:rsidRDefault="00BE6A0C">
    <w:pPr>
      <w:pStyle w:val="Footer"/>
    </w:pPr>
    <w:r>
      <w:rPr>
        <w:noProof/>
      </w:rPr>
      <mc:AlternateContent>
        <mc:Choice Requires="wps">
          <w:drawing>
            <wp:anchor distT="0" distB="0" distL="0" distR="0" simplePos="0" relativeHeight="251658245" behindDoc="0" locked="0" layoutInCell="1" allowOverlap="1" wp14:anchorId="3EA981EA" wp14:editId="00378C3A">
              <wp:simplePos x="635" y="635"/>
              <wp:positionH relativeFrom="page">
                <wp:align>center</wp:align>
              </wp:positionH>
              <wp:positionV relativeFrom="page">
                <wp:align>bottom</wp:align>
              </wp:positionV>
              <wp:extent cx="608965" cy="361315"/>
              <wp:effectExtent l="0" t="0" r="635" b="0"/>
              <wp:wrapNone/>
              <wp:docPr id="43886923"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3011B115" w14:textId="31C3335E" w:rsidR="00BE6A0C" w:rsidRPr="00BE6A0C" w:rsidRDefault="00BE6A0C" w:rsidP="00BE6A0C">
                          <w:pPr>
                            <w:rPr>
                              <w:rFonts w:ascii="Calibri" w:eastAsia="Calibri" w:hAnsi="Calibri" w:cs="Calibri"/>
                              <w:noProof/>
                              <w:color w:val="FF0000"/>
                              <w:sz w:val="22"/>
                              <w:szCs w:val="22"/>
                            </w:rPr>
                          </w:pPr>
                          <w:r w:rsidRPr="00BE6A0C">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A981EA" id="_x0000_t202" coordsize="21600,21600" o:spt="202" path="m,l,21600r21600,l21600,xe">
              <v:stroke joinstyle="miter"/>
              <v:path gradientshapeok="t" o:connecttype="rect"/>
            </v:shapetype>
            <v:shape id="Text Box 5" o:spid="_x0000_s1029" type="#_x0000_t202" alt="DCC Public" style="position:absolute;left:0;text-align:left;margin-left:0;margin-top:0;width:47.95pt;height:28.4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wMRDgIAABw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4mP3W6iPOJSDYd/e8lWLpdfMh2fmcME4B4o2&#10;POEhFXQVhZNFSQPu92f+mI+8Y5SSDgVTUYOKpkT9NLiPqK3RcKOxTUZxm09zjJu9vgeUYYEvwvJk&#10;otcFNZrSgX5FOS9jIQwxw7FcRbejeR8G5eJz4GK5TEkoI8vC2mwsj9CRrsjlS//KnD0RHnBTjzCq&#10;iZXveB9y401vl/uA7KelRGoHIk+MowTTWk/PJWr87X/KujzqxR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DVfwMRDgIAABwE&#10;AAAOAAAAAAAAAAAAAAAAAC4CAABkcnMvZTJvRG9jLnhtbFBLAQItABQABgAIAAAAIQB2z5Ko2gAA&#10;AAMBAAAPAAAAAAAAAAAAAAAAAGgEAABkcnMvZG93bnJldi54bWxQSwUGAAAAAAQABADzAAAAbwUA&#10;AAAA&#10;" filled="f" stroked="f">
              <v:textbox style="mso-fit-shape-to-text:t" inset="0,0,0,15pt">
                <w:txbxContent>
                  <w:p w14:paraId="3011B115" w14:textId="31C3335E" w:rsidR="00BE6A0C" w:rsidRPr="00BE6A0C" w:rsidRDefault="00BE6A0C" w:rsidP="00BE6A0C">
                    <w:pPr>
                      <w:rPr>
                        <w:rFonts w:ascii="Calibri" w:eastAsia="Calibri" w:hAnsi="Calibri" w:cs="Calibri"/>
                        <w:noProof/>
                        <w:color w:val="FF0000"/>
                        <w:sz w:val="22"/>
                        <w:szCs w:val="22"/>
                      </w:rPr>
                    </w:pPr>
                    <w:r w:rsidRPr="00BE6A0C">
                      <w:rPr>
                        <w:rFonts w:ascii="Calibri" w:eastAsia="Calibri" w:hAnsi="Calibri" w:cs="Calibri"/>
                        <w:noProof/>
                        <w:color w:val="FF0000"/>
                        <w:sz w:val="22"/>
                        <w:szCs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9C645" w14:textId="3E8A659F" w:rsidR="00801D98" w:rsidRDefault="00BE6A0C">
    <w:pPr>
      <w:pStyle w:val="Footer"/>
      <w:tabs>
        <w:tab w:val="clear" w:pos="4153"/>
        <w:tab w:val="clear" w:pos="8306"/>
        <w:tab w:val="right" w:pos="15309"/>
      </w:tabs>
      <w:jc w:val="left"/>
    </w:pPr>
    <w:r>
      <w:rPr>
        <w:noProof/>
      </w:rPr>
      <mc:AlternateContent>
        <mc:Choice Requires="wps">
          <w:drawing>
            <wp:anchor distT="0" distB="0" distL="0" distR="0" simplePos="0" relativeHeight="251658246" behindDoc="0" locked="0" layoutInCell="1" allowOverlap="1" wp14:anchorId="5E696664" wp14:editId="256C7135">
              <wp:simplePos x="635" y="635"/>
              <wp:positionH relativeFrom="page">
                <wp:align>center</wp:align>
              </wp:positionH>
              <wp:positionV relativeFrom="page">
                <wp:align>bottom</wp:align>
              </wp:positionV>
              <wp:extent cx="608965" cy="361315"/>
              <wp:effectExtent l="0" t="0" r="635" b="0"/>
              <wp:wrapNone/>
              <wp:docPr id="642974796"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24E88A6B" w14:textId="0812F9B3" w:rsidR="00BE6A0C" w:rsidRPr="00BE6A0C" w:rsidRDefault="00BE6A0C" w:rsidP="00BE6A0C">
                          <w:pPr>
                            <w:rPr>
                              <w:rFonts w:ascii="Calibri" w:eastAsia="Calibri" w:hAnsi="Calibri" w:cs="Calibri"/>
                              <w:noProof/>
                              <w:color w:val="FF0000"/>
                              <w:sz w:val="22"/>
                              <w:szCs w:val="22"/>
                            </w:rPr>
                          </w:pPr>
                          <w:r w:rsidRPr="00BE6A0C">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696664" id="_x0000_t202" coordsize="21600,21600" o:spt="202" path="m,l,21600r21600,l21600,xe">
              <v:stroke joinstyle="miter"/>
              <v:path gradientshapeok="t" o:connecttype="rect"/>
            </v:shapetype>
            <v:shape id="Text Box 6" o:spid="_x0000_s1030" type="#_x0000_t202" alt="DCC Public" style="position:absolute;margin-left:0;margin-top:0;width:47.95pt;height:28.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" filled="f" stroked="f">
              <v:textbox style="mso-fit-shape-to-text:t" inset="0,0,0,15pt">
                <w:txbxContent>
                  <w:p w14:paraId="24E88A6B" w14:textId="0812F9B3" w:rsidR="00BE6A0C" w:rsidRPr="00BE6A0C" w:rsidRDefault="00BE6A0C" w:rsidP="00BE6A0C">
                    <w:pPr>
                      <w:rPr>
                        <w:rFonts w:ascii="Calibri" w:eastAsia="Calibri" w:hAnsi="Calibri" w:cs="Calibri"/>
                        <w:noProof/>
                        <w:color w:val="FF0000"/>
                        <w:sz w:val="22"/>
                        <w:szCs w:val="22"/>
                      </w:rPr>
                    </w:pPr>
                    <w:r w:rsidRPr="00BE6A0C">
                      <w:rPr>
                        <w:rFonts w:ascii="Calibri" w:eastAsia="Calibri" w:hAnsi="Calibri" w:cs="Calibri"/>
                        <w:noProof/>
                        <w:color w:val="FF0000"/>
                        <w:sz w:val="22"/>
                        <w:szCs w:val="22"/>
                      </w:rPr>
                      <w:t>DCC Public</w:t>
                    </w:r>
                  </w:p>
                </w:txbxContent>
              </v:textbox>
              <w10:wrap anchorx="page" anchory="page"/>
            </v:shape>
          </w:pict>
        </mc:Fallback>
      </mc:AlternateContent>
    </w:r>
    <w:r w:rsidR="00B74FA3">
      <w:rPr>
        <w:rStyle w:val="PageNumber"/>
      </w:rPr>
      <w:tab/>
    </w:r>
    <w:r w:rsidR="00B74FA3">
      <w:rPr>
        <w:rStyle w:val="PageNumber"/>
      </w:rPr>
      <w:fldChar w:fldCharType="begin"/>
    </w:r>
    <w:r w:rsidR="00B74FA3">
      <w:rPr>
        <w:rStyle w:val="PageNumber"/>
      </w:rPr>
      <w:instrText xml:space="preserve"> PAGE </w:instrText>
    </w:r>
    <w:r w:rsidR="00B74FA3">
      <w:rPr>
        <w:rStyle w:val="PageNumber"/>
      </w:rPr>
      <w:fldChar w:fldCharType="separate"/>
    </w:r>
    <w:r w:rsidR="00B74FA3">
      <w:rPr>
        <w:rStyle w:val="PageNumber"/>
        <w:noProof/>
      </w:rPr>
      <w:t>11</w:t>
    </w:r>
    <w:r w:rsidR="00B74FA3">
      <w:rPr>
        <w:rStyle w:val="PageNumber"/>
      </w:rPr>
      <w:fldChar w:fldCharType="end"/>
    </w:r>
    <w:r w:rsidR="00B74FA3">
      <w:rPr>
        <w:rStyle w:val="PageNumber"/>
      </w:rPr>
      <w:t xml:space="preserve"> of </w:t>
    </w:r>
    <w:r w:rsidR="00B74FA3">
      <w:rPr>
        <w:rStyle w:val="PageNumber"/>
      </w:rPr>
      <w:fldChar w:fldCharType="begin"/>
    </w:r>
    <w:r w:rsidR="00B74FA3">
      <w:rPr>
        <w:rStyle w:val="PageNumber"/>
      </w:rPr>
      <w:instrText xml:space="preserve"> NUMPAGES   \* MERGEFORMAT </w:instrText>
    </w:r>
    <w:r w:rsidR="00B74FA3">
      <w:rPr>
        <w:rStyle w:val="PageNumber"/>
      </w:rPr>
      <w:fldChar w:fldCharType="separate"/>
    </w:r>
    <w:r w:rsidR="00B74FA3">
      <w:rPr>
        <w:rStyle w:val="PageNumber"/>
        <w:noProof/>
      </w:rPr>
      <w:t>11</w:t>
    </w:r>
    <w:r w:rsidR="00B74FA3">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CE7DA" w14:textId="24DCA1C0" w:rsidR="007C3C25" w:rsidRDefault="00BE6A0C">
    <w:pPr>
      <w:pStyle w:val="Footer"/>
    </w:pPr>
    <w:r>
      <w:rPr>
        <w:noProof/>
      </w:rPr>
      <mc:AlternateContent>
        <mc:Choice Requires="wps">
          <w:drawing>
            <wp:anchor distT="0" distB="0" distL="0" distR="0" simplePos="0" relativeHeight="251658244" behindDoc="0" locked="0" layoutInCell="1" allowOverlap="1" wp14:anchorId="3F35F88D" wp14:editId="5FAC04A4">
              <wp:simplePos x="635" y="635"/>
              <wp:positionH relativeFrom="page">
                <wp:align>center</wp:align>
              </wp:positionH>
              <wp:positionV relativeFrom="page">
                <wp:align>bottom</wp:align>
              </wp:positionV>
              <wp:extent cx="608965" cy="361315"/>
              <wp:effectExtent l="0" t="0" r="635" b="0"/>
              <wp:wrapNone/>
              <wp:docPr id="1575408143"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7FC88505" w14:textId="4AA41105" w:rsidR="00BE6A0C" w:rsidRPr="00BE6A0C" w:rsidRDefault="00BE6A0C" w:rsidP="00BE6A0C">
                          <w:pPr>
                            <w:rPr>
                              <w:rFonts w:ascii="Calibri" w:eastAsia="Calibri" w:hAnsi="Calibri" w:cs="Calibri"/>
                              <w:noProof/>
                              <w:color w:val="FF0000"/>
                              <w:sz w:val="22"/>
                              <w:szCs w:val="22"/>
                            </w:rPr>
                          </w:pPr>
                          <w:r w:rsidRPr="00BE6A0C">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35F88D" id="_x0000_t202" coordsize="21600,21600" o:spt="202" path="m,l,21600r21600,l21600,xe">
              <v:stroke joinstyle="miter"/>
              <v:path gradientshapeok="t" o:connecttype="rect"/>
            </v:shapetype>
            <v:shape id="Text Box 4" o:spid="_x0000_s1032" type="#_x0000_t202" alt="DCC Public" style="position:absolute;left:0;text-align:left;margin-left:0;margin-top:0;width:47.95pt;height:28.4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XvaDgIAABw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Rsbut1AfcSgHw7695asWS6+ZD8/M4YJxDhRt&#10;eMJDKugqCieLkgbc78/8MR95xyglHQqmogYVTYn6aXAfUVuj4UZjm4ziNp/mGDd7fQ8owwJfhOXJ&#10;RK8LajSlA/2Kcl7GQhhihmO5im5H8z4MysXnwMVymZJQRpaFtdlYHqEjXZHLl/6VOXsiPOCmHmFU&#10;Eyvf8T7kxpveLvcB2U9LidQORJ4YRwmmtZ6eS9T42/+UdXnUiz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AMPXvaDgIAABwE&#10;AAAOAAAAAAAAAAAAAAAAAC4CAABkcnMvZTJvRG9jLnhtbFBLAQItABQABgAIAAAAIQB2z5Ko2gAA&#10;AAMBAAAPAAAAAAAAAAAAAAAAAGgEAABkcnMvZG93bnJldi54bWxQSwUGAAAAAAQABADzAAAAbwUA&#10;AAAA&#10;" filled="f" stroked="f">
              <v:textbox style="mso-fit-shape-to-text:t" inset="0,0,0,15pt">
                <w:txbxContent>
                  <w:p w14:paraId="7FC88505" w14:textId="4AA41105" w:rsidR="00BE6A0C" w:rsidRPr="00BE6A0C" w:rsidRDefault="00BE6A0C" w:rsidP="00BE6A0C">
                    <w:pPr>
                      <w:rPr>
                        <w:rFonts w:ascii="Calibri" w:eastAsia="Calibri" w:hAnsi="Calibri" w:cs="Calibri"/>
                        <w:noProof/>
                        <w:color w:val="FF0000"/>
                        <w:sz w:val="22"/>
                        <w:szCs w:val="22"/>
                      </w:rPr>
                    </w:pPr>
                    <w:r w:rsidRPr="00BE6A0C">
                      <w:rPr>
                        <w:rFonts w:ascii="Calibri" w:eastAsia="Calibri" w:hAnsi="Calibri" w:cs="Calibri"/>
                        <w:noProof/>
                        <w:color w:val="FF0000"/>
                        <w:sz w:val="22"/>
                        <w:szCs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82758" w14:textId="77777777" w:rsidR="004D6AC3" w:rsidRDefault="004D6AC3">
      <w:r>
        <w:separator/>
      </w:r>
    </w:p>
    <w:p w14:paraId="1EBA06CE" w14:textId="77777777" w:rsidR="004D6AC3" w:rsidRDefault="004D6AC3"/>
  </w:footnote>
  <w:footnote w:type="continuationSeparator" w:id="0">
    <w:p w14:paraId="6393DD88" w14:textId="77777777" w:rsidR="004D6AC3" w:rsidRDefault="004D6AC3">
      <w:r>
        <w:continuationSeparator/>
      </w:r>
    </w:p>
    <w:p w14:paraId="3AA69F25" w14:textId="77777777" w:rsidR="004D6AC3" w:rsidRDefault="004D6AC3"/>
  </w:footnote>
  <w:footnote w:type="continuationNotice" w:id="1">
    <w:p w14:paraId="5CF46416" w14:textId="77777777" w:rsidR="004D6AC3" w:rsidRDefault="004D6AC3"/>
    <w:p w14:paraId="26B081A0" w14:textId="77777777" w:rsidR="004D6AC3" w:rsidRDefault="004D6A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9C8B" w14:textId="3DED9190" w:rsidR="007C3C25" w:rsidRDefault="00BE6A0C">
    <w:pPr>
      <w:pStyle w:val="Header"/>
    </w:pPr>
    <w:r>
      <w:rPr>
        <w:noProof/>
      </w:rPr>
      <mc:AlternateContent>
        <mc:Choice Requires="wps">
          <w:drawing>
            <wp:anchor distT="0" distB="0" distL="0" distR="0" simplePos="0" relativeHeight="251658242" behindDoc="0" locked="0" layoutInCell="1" allowOverlap="1" wp14:anchorId="5DF61CF3" wp14:editId="4991C17F">
              <wp:simplePos x="635" y="635"/>
              <wp:positionH relativeFrom="page">
                <wp:align>center</wp:align>
              </wp:positionH>
              <wp:positionV relativeFrom="page">
                <wp:align>top</wp:align>
              </wp:positionV>
              <wp:extent cx="553720" cy="345440"/>
              <wp:effectExtent l="0" t="0" r="17780" b="16510"/>
              <wp:wrapNone/>
              <wp:docPr id="743693600"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29CE96DF" w14:textId="757EC03A" w:rsidR="00BE6A0C" w:rsidRPr="00BE6A0C" w:rsidRDefault="00BE6A0C" w:rsidP="00BE6A0C">
                          <w:pPr>
                            <w:rPr>
                              <w:rFonts w:ascii="Calibri" w:eastAsia="Calibri" w:hAnsi="Calibri" w:cs="Calibri"/>
                              <w:noProof/>
                              <w:color w:val="FF0000"/>
                              <w:sz w:val="20"/>
                              <w:szCs w:val="20"/>
                            </w:rPr>
                          </w:pPr>
                          <w:r w:rsidRPr="00BE6A0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F61CF3" id="_x0000_t202" coordsize="21600,21600" o:spt="202" path="m,l,21600r21600,l21600,xe">
              <v:stroke joinstyle="miter"/>
              <v:path gradientshapeok="t" o:connecttype="rect"/>
            </v:shapetype>
            <v:shape id="Text Box 2" o:spid="_x0000_s1026" type="#_x0000_t202" alt="DCC Public" style="position:absolute;left:0;text-align:left;margin-left:0;margin-top:0;width:43.6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" filled="f" stroked="f">
              <v:textbox style="mso-fit-shape-to-text:t" inset="0,15pt,0,0">
                <w:txbxContent>
                  <w:p w14:paraId="29CE96DF" w14:textId="757EC03A" w:rsidR="00BE6A0C" w:rsidRPr="00BE6A0C" w:rsidRDefault="00BE6A0C" w:rsidP="00BE6A0C">
                    <w:pPr>
                      <w:rPr>
                        <w:rFonts w:ascii="Calibri" w:eastAsia="Calibri" w:hAnsi="Calibri" w:cs="Calibri"/>
                        <w:noProof/>
                        <w:color w:val="FF0000"/>
                        <w:sz w:val="20"/>
                        <w:szCs w:val="20"/>
                      </w:rPr>
                    </w:pPr>
                    <w:r w:rsidRPr="00BE6A0C">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E6B80" w14:textId="115694C2" w:rsidR="00801D98" w:rsidRDefault="00BE6A0C">
    <w:pPr>
      <w:pStyle w:val="Header"/>
    </w:pPr>
    <w:r>
      <w:rPr>
        <w:noProof/>
        <w:lang w:eastAsia="en-GB"/>
      </w:rPr>
      <mc:AlternateContent>
        <mc:Choice Requires="wps">
          <w:drawing>
            <wp:anchor distT="0" distB="0" distL="0" distR="0" simplePos="0" relativeHeight="251658243" behindDoc="0" locked="0" layoutInCell="1" allowOverlap="1" wp14:anchorId="4195A17B" wp14:editId="2066C7FD">
              <wp:simplePos x="635" y="635"/>
              <wp:positionH relativeFrom="page">
                <wp:align>center</wp:align>
              </wp:positionH>
              <wp:positionV relativeFrom="page">
                <wp:align>top</wp:align>
              </wp:positionV>
              <wp:extent cx="553720" cy="345440"/>
              <wp:effectExtent l="0" t="0" r="17780" b="16510"/>
              <wp:wrapNone/>
              <wp:docPr id="254300102"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2E80E31F" w14:textId="2195ED09" w:rsidR="00BE6A0C" w:rsidRPr="00BE6A0C" w:rsidRDefault="00BE6A0C" w:rsidP="00BE6A0C">
                          <w:pPr>
                            <w:rPr>
                              <w:rFonts w:ascii="Calibri" w:eastAsia="Calibri" w:hAnsi="Calibri" w:cs="Calibri"/>
                              <w:noProof/>
                              <w:color w:val="FF0000"/>
                              <w:sz w:val="20"/>
                              <w:szCs w:val="20"/>
                            </w:rPr>
                          </w:pPr>
                          <w:r w:rsidRPr="00BE6A0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95A17B" id="_x0000_t202" coordsize="21600,21600" o:spt="202" path="m,l,21600r21600,l21600,xe">
              <v:stroke joinstyle="miter"/>
              <v:path gradientshapeok="t" o:connecttype="rect"/>
            </v:shapetype>
            <v:shape id="Text Box 3" o:spid="_x0000_s1027" type="#_x0000_t202" alt="DCC Public" style="position:absolute;left:0;text-align:left;margin-left:0;margin-top:0;width:43.6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" filled="f" stroked="f">
              <v:textbox style="mso-fit-shape-to-text:t" inset="0,15pt,0,0">
                <w:txbxContent>
                  <w:p w14:paraId="2E80E31F" w14:textId="2195ED09" w:rsidR="00BE6A0C" w:rsidRPr="00BE6A0C" w:rsidRDefault="00BE6A0C" w:rsidP="00BE6A0C">
                    <w:pPr>
                      <w:rPr>
                        <w:rFonts w:ascii="Calibri" w:eastAsia="Calibri" w:hAnsi="Calibri" w:cs="Calibri"/>
                        <w:noProof/>
                        <w:color w:val="FF0000"/>
                        <w:sz w:val="20"/>
                        <w:szCs w:val="20"/>
                      </w:rPr>
                    </w:pPr>
                    <w:r w:rsidRPr="00BE6A0C">
                      <w:rPr>
                        <w:rFonts w:ascii="Calibri" w:eastAsia="Calibri" w:hAnsi="Calibri" w:cs="Calibri"/>
                        <w:noProof/>
                        <w:color w:val="FF0000"/>
                        <w:sz w:val="20"/>
                        <w:szCs w:val="20"/>
                      </w:rPr>
                      <w:t>DCC Public</w:t>
                    </w:r>
                  </w:p>
                </w:txbxContent>
              </v:textbox>
              <w10:wrap anchorx="page" anchory="page"/>
            </v:shape>
          </w:pict>
        </mc:Fallback>
      </mc:AlternateContent>
    </w:r>
    <w:r w:rsidR="00B74FA3">
      <w:rPr>
        <w:noProof/>
        <w:lang w:eastAsia="en-GB"/>
      </w:rPr>
      <mc:AlternateContent>
        <mc:Choice Requires="wps">
          <w:drawing>
            <wp:anchor distT="0" distB="0" distL="114300" distR="114300" simplePos="0" relativeHeight="251658240" behindDoc="0" locked="0" layoutInCell="0" allowOverlap="1" wp14:anchorId="3356E259" wp14:editId="2CF9CFAB">
              <wp:simplePos x="0" y="0"/>
              <wp:positionH relativeFrom="page">
                <wp:posOffset>182880</wp:posOffset>
              </wp:positionH>
              <wp:positionV relativeFrom="page">
                <wp:posOffset>394335</wp:posOffset>
              </wp:positionV>
              <wp:extent cx="7560310" cy="273050"/>
              <wp:effectExtent l="0" t="0" r="0" b="12700"/>
              <wp:wrapNone/>
              <wp:docPr id="20" name="Text Box 20" descr="{&quot;HashCode&quot;:202813519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1A290B" w14:textId="77777777" w:rsidR="00801D98" w:rsidRDefault="00801D98">
                          <w:pPr>
                            <w:jc w:val="center"/>
                            <w:rPr>
                              <w:rFonts w:ascii="Calibri" w:hAnsi="Calibri" w:cs="Calibri"/>
                              <w:color w:val="FF0000"/>
                              <w:sz w:val="20"/>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w14:anchorId="3356E259" id="Text Box 20" o:spid="_x0000_s1028" type="#_x0000_t202" alt="{&quot;HashCode&quot;:2028135196,&quot;Height&quot;:841.0,&quot;Width&quot;:595.0,&quot;Placement&quot;:&quot;Header&quot;,&quot;Index&quot;:&quot;Primary&quot;,&quot;Section&quot;:1,&quot;Top&quot;:0.0,&quot;Left&quot;:0.0}" style="position:absolute;left:0;text-align:left;margin-left:14.4pt;margin-top:31.0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3U4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" o:allowincell="f" filled="f" stroked="f" strokeweight=".5pt">
              <v:textbox inset=",0,,0">
                <w:txbxContent>
                  <w:p w14:paraId="331A290B" w14:textId="77777777" w:rsidR="00801D98" w:rsidRDefault="00801D98">
                    <w:pPr>
                      <w:jc w:val="center"/>
                      <w:rPr>
                        <w:rFonts w:ascii="Calibri" w:hAnsi="Calibri" w:cs="Calibri"/>
                        <w:color w:val="FF0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83091" w14:textId="015EE988" w:rsidR="007C3C25" w:rsidRDefault="00BE6A0C">
    <w:pPr>
      <w:pStyle w:val="Header"/>
    </w:pPr>
    <w:r>
      <w:rPr>
        <w:noProof/>
      </w:rPr>
      <mc:AlternateContent>
        <mc:Choice Requires="wps">
          <w:drawing>
            <wp:anchor distT="0" distB="0" distL="0" distR="0" simplePos="0" relativeHeight="251658241" behindDoc="0" locked="0" layoutInCell="1" allowOverlap="1" wp14:anchorId="3131B922" wp14:editId="1BA160DD">
              <wp:simplePos x="635" y="635"/>
              <wp:positionH relativeFrom="page">
                <wp:align>center</wp:align>
              </wp:positionH>
              <wp:positionV relativeFrom="page">
                <wp:align>top</wp:align>
              </wp:positionV>
              <wp:extent cx="553720" cy="345440"/>
              <wp:effectExtent l="0" t="0" r="17780" b="16510"/>
              <wp:wrapNone/>
              <wp:docPr id="485908104"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76F941E9" w14:textId="5362872C" w:rsidR="00BE6A0C" w:rsidRPr="00BE6A0C" w:rsidRDefault="00BE6A0C" w:rsidP="00BE6A0C">
                          <w:pPr>
                            <w:rPr>
                              <w:rFonts w:ascii="Calibri" w:eastAsia="Calibri" w:hAnsi="Calibri" w:cs="Calibri"/>
                              <w:noProof/>
                              <w:color w:val="FF0000"/>
                              <w:sz w:val="20"/>
                              <w:szCs w:val="20"/>
                            </w:rPr>
                          </w:pPr>
                          <w:r w:rsidRPr="00BE6A0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131B922" id="_x0000_t202" coordsize="21600,21600" o:spt="202" path="m,l,21600r21600,l21600,xe">
              <v:stroke joinstyle="miter"/>
              <v:path gradientshapeok="t" o:connecttype="rect"/>
            </v:shapetype>
            <v:shape id="Text Box 1" o:spid="_x0000_s1031" type="#_x0000_t202" alt="DCC Public" style="position:absolute;left:0;text-align:left;margin-left:0;margin-top:0;width:43.6pt;height:27.2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" filled="f" stroked="f">
              <v:textbox style="mso-fit-shape-to-text:t" inset="0,15pt,0,0">
                <w:txbxContent>
                  <w:p w14:paraId="76F941E9" w14:textId="5362872C" w:rsidR="00BE6A0C" w:rsidRPr="00BE6A0C" w:rsidRDefault="00BE6A0C" w:rsidP="00BE6A0C">
                    <w:pPr>
                      <w:rPr>
                        <w:rFonts w:ascii="Calibri" w:eastAsia="Calibri" w:hAnsi="Calibri" w:cs="Calibri"/>
                        <w:noProof/>
                        <w:color w:val="FF0000"/>
                        <w:sz w:val="20"/>
                        <w:szCs w:val="20"/>
                      </w:rPr>
                    </w:pPr>
                    <w:r w:rsidRPr="00BE6A0C">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1E8679C"/>
    <w:lvl w:ilvl="0">
      <w:start w:val="1"/>
      <w:numFmt w:val="decimal"/>
      <w:pStyle w:val="ListNumber4"/>
      <w:lvlText w:val="%1."/>
      <w:lvlJc w:val="left"/>
      <w:pPr>
        <w:tabs>
          <w:tab w:val="num" w:pos="1634"/>
        </w:tabs>
        <w:ind w:left="1634" w:hanging="360"/>
      </w:pPr>
    </w:lvl>
  </w:abstractNum>
  <w:abstractNum w:abstractNumId="1" w15:restartNumberingAfterBreak="0">
    <w:nsid w:val="FFFFFF7E"/>
    <w:multiLevelType w:val="singleLevel"/>
    <w:tmpl w:val="06E60AD0"/>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BC3CE3DA"/>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4"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EEECE1" w:themeColor="background2"/>
      </w:rPr>
    </w:lvl>
  </w:abstractNum>
  <w:abstractNum w:abstractNumId="5"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6"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7" w15:restartNumberingAfterBreak="0">
    <w:nsid w:val="081B326D"/>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pStyle w:val="Heading4"/>
      <w:lvlText w:val="(%4)"/>
      <w:lvlJc w:val="left"/>
      <w:pPr>
        <w:tabs>
          <w:tab w:val="num" w:pos="1985"/>
        </w:tabs>
        <w:ind w:left="1985" w:hanging="708"/>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8" w15:restartNumberingAfterBreak="0">
    <w:nsid w:val="0D385BA8"/>
    <w:multiLevelType w:val="multilevel"/>
    <w:tmpl w:val="39EC75D6"/>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0F333789"/>
    <w:multiLevelType w:val="hybridMultilevel"/>
    <w:tmpl w:val="DAAEE4AE"/>
    <w:lvl w:ilvl="0" w:tplc="6ADE3F76">
      <w:start w:val="1"/>
      <w:numFmt w:val="decimal"/>
      <w:pStyle w:val="Appendixlevel2"/>
      <w:lvlText w:val="A%1"/>
      <w:lvlJc w:val="left"/>
      <w:pPr>
        <w:ind w:left="114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866" w:hanging="360"/>
      </w:pPr>
    </w:lvl>
    <w:lvl w:ilvl="2" w:tplc="0809001B">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0FD77125"/>
    <w:multiLevelType w:val="multilevel"/>
    <w:tmpl w:val="4BA4573A"/>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pStyle w:val="Simple7"/>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12" w15:restartNumberingAfterBreak="0">
    <w:nsid w:val="119D6F7D"/>
    <w:multiLevelType w:val="multilevel"/>
    <w:tmpl w:val="8124C852"/>
    <w:lvl w:ilvl="0">
      <w:start w:val="1"/>
      <w:numFmt w:val="decimal"/>
      <w:lvlText w:val="%1."/>
      <w:lvlJc w:val="left"/>
      <w:pPr>
        <w:ind w:left="360" w:hanging="360"/>
      </w:p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lowerRoman"/>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64B642B"/>
    <w:multiLevelType w:val="multilevel"/>
    <w:tmpl w:val="A552B57A"/>
    <w:numStyleLink w:val="Style2"/>
  </w:abstractNum>
  <w:abstractNum w:abstractNumId="14"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B676856"/>
    <w:multiLevelType w:val="multilevel"/>
    <w:tmpl w:val="1F1617CC"/>
    <w:lvl w:ilvl="0">
      <w:start w:val="1"/>
      <w:numFmt w:val="bullet"/>
      <w:pStyle w:val="DECCBullets"/>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16" w15:restartNumberingAfterBreak="0">
    <w:nsid w:val="1B681BD9"/>
    <w:multiLevelType w:val="multilevel"/>
    <w:tmpl w:val="A552B57A"/>
    <w:numStyleLink w:val="Style2"/>
  </w:abstractNum>
  <w:abstractNum w:abstractNumId="17" w15:restartNumberingAfterBreak="0">
    <w:nsid w:val="1C437987"/>
    <w:multiLevelType w:val="hybridMultilevel"/>
    <w:tmpl w:val="FBC6823C"/>
    <w:lvl w:ilvl="0" w:tplc="0F60382C">
      <w:start w:val="1"/>
      <w:numFmt w:val="bullet"/>
      <w:pStyle w:val="DCC-ServiceRequestLevel2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7B5647"/>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9" w15:restartNumberingAfterBreak="0">
    <w:nsid w:val="28092598"/>
    <w:multiLevelType w:val="hybridMultilevel"/>
    <w:tmpl w:val="B19424EE"/>
    <w:lvl w:ilvl="0" w:tplc="13BA24FA">
      <w:start w:val="1"/>
      <w:numFmt w:val="upperLetter"/>
      <w:pStyle w:val="Appendixlevel1"/>
      <w:lvlText w:val="Appendix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795344"/>
    <w:multiLevelType w:val="multilevel"/>
    <w:tmpl w:val="A552B57A"/>
    <w:numStyleLink w:val="Style2"/>
  </w:abstractNum>
  <w:abstractNum w:abstractNumId="21" w15:restartNumberingAfterBreak="0">
    <w:nsid w:val="2AF419BC"/>
    <w:multiLevelType w:val="multilevel"/>
    <w:tmpl w:val="A552B57A"/>
    <w:numStyleLink w:val="Style2"/>
  </w:abstractNum>
  <w:abstractNum w:abstractNumId="22" w15:restartNumberingAfterBreak="0">
    <w:nsid w:val="2C8C2C8A"/>
    <w:multiLevelType w:val="hybridMultilevel"/>
    <w:tmpl w:val="B2760AAC"/>
    <w:styleLink w:val="DECCBullet"/>
    <w:lvl w:ilvl="0" w:tplc="F53A4EC8">
      <w:start w:val="19"/>
      <w:numFmt w:val="lowerRoman"/>
      <w:pStyle w:val="smetsxref"/>
      <w:lvlText w:val="%1."/>
      <w:lvlJc w:val="right"/>
      <w:pPr>
        <w:ind w:left="720" w:hanging="360"/>
      </w:pPr>
      <w:rPr>
        <w:rFonts w:cs="Times New Roman"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32052467"/>
    <w:multiLevelType w:val="hybridMultilevel"/>
    <w:tmpl w:val="8578BDD6"/>
    <w:lvl w:ilvl="0" w:tplc="043A6760">
      <w:start w:val="1"/>
      <w:numFmt w:val="bullet"/>
      <w:pStyle w:val="DCC-ServiceRequestLevel1Bullet"/>
      <w:lvlText w:val=""/>
      <w:lvlJc w:val="left"/>
      <w:pPr>
        <w:ind w:left="879" w:hanging="360"/>
      </w:pPr>
      <w:rPr>
        <w:rFonts w:ascii="Symbol" w:hAnsi="Symbol" w:hint="default"/>
      </w:rPr>
    </w:lvl>
    <w:lvl w:ilvl="1" w:tplc="08090003">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abstractNum w:abstractNumId="25" w15:restartNumberingAfterBreak="0">
    <w:nsid w:val="32F93F6F"/>
    <w:multiLevelType w:val="multilevel"/>
    <w:tmpl w:val="39EC75D6"/>
    <w:styleLink w:val="CGI-Headings"/>
    <w:lvl w:ilvl="0">
      <w:start w:val="1"/>
      <w:numFmt w:val="none"/>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6" w15:restartNumberingAfterBreak="0">
    <w:nsid w:val="38455B47"/>
    <w:multiLevelType w:val="hybridMultilevel"/>
    <w:tmpl w:val="D37A7E18"/>
    <w:lvl w:ilvl="0" w:tplc="0F60382C">
      <w:start w:val="1"/>
      <w:numFmt w:val="bullet"/>
      <w:lvlText w:val=""/>
      <w:lvlJc w:val="left"/>
      <w:pPr>
        <w:ind w:left="720" w:hanging="360"/>
      </w:pPr>
      <w:rPr>
        <w:rFonts w:ascii="Symbol" w:hAnsi="Symbol" w:hint="default"/>
      </w:rPr>
    </w:lvl>
    <w:lvl w:ilvl="1" w:tplc="E90065CE">
      <w:start w:val="1"/>
      <w:numFmt w:val="bullet"/>
      <w:pStyle w:val="DCC-ServceRequestLevel3Bullet"/>
      <w:lvlText w:val="o"/>
      <w:lvlJc w:val="left"/>
      <w:pPr>
        <w:ind w:left="1440" w:hanging="360"/>
      </w:pPr>
      <w:rPr>
        <w:rFonts w:ascii="Courier New" w:hAnsi="Courier New" w:cs="Courier New" w:hint="default"/>
      </w:rPr>
    </w:lvl>
    <w:lvl w:ilvl="2" w:tplc="DFB4BA4C">
      <w:start w:val="3"/>
      <w:numFmt w:val="bullet"/>
      <w:lvlText w:val="•"/>
      <w:lvlJc w:val="left"/>
      <w:pPr>
        <w:ind w:left="2385" w:hanging="585"/>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28" w15:restartNumberingAfterBreak="0">
    <w:nsid w:val="3BC64EFA"/>
    <w:multiLevelType w:val="hybridMultilevel"/>
    <w:tmpl w:val="05DC23D8"/>
    <w:lvl w:ilvl="0" w:tplc="8B8C011A">
      <w:numFmt w:val="bullet"/>
      <w:pStyle w:val="PDBullet"/>
      <w:lvlText w:val="•"/>
      <w:lvlJc w:val="left"/>
      <w:pPr>
        <w:ind w:left="1444" w:hanging="735"/>
      </w:pPr>
      <w:rPr>
        <w:rFonts w:ascii="Times New Roman" w:eastAsia="Times New Roman" w:hAnsi="Times New Roman" w:cs="Times New Roman" w:hint="default"/>
        <w:b/>
        <w:color w:val="auto"/>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9" w15:restartNumberingAfterBreak="0">
    <w:nsid w:val="3F5E2942"/>
    <w:multiLevelType w:val="multilevel"/>
    <w:tmpl w:val="A552B57A"/>
    <w:numStyleLink w:val="Style2"/>
  </w:abstractNum>
  <w:abstractNum w:abstractNumId="30" w15:restartNumberingAfterBreak="0">
    <w:nsid w:val="427D693E"/>
    <w:multiLevelType w:val="multilevel"/>
    <w:tmpl w:val="A552B57A"/>
    <w:numStyleLink w:val="Style2"/>
  </w:abstractNum>
  <w:abstractNum w:abstractNumId="31" w15:restartNumberingAfterBreak="0">
    <w:nsid w:val="4443038A"/>
    <w:multiLevelType w:val="multilevel"/>
    <w:tmpl w:val="8124C852"/>
    <w:styleLink w:val="AppendixHeadings"/>
    <w:lvl w:ilvl="0">
      <w:start w:val="1"/>
      <w:numFmt w:val="decimal"/>
      <w:lvlText w:val="%1."/>
      <w:lvlJc w:val="left"/>
      <w:pPr>
        <w:ind w:left="360" w:hanging="360"/>
      </w:p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lowerRoman"/>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64D463E"/>
    <w:multiLevelType w:val="hybridMultilevel"/>
    <w:tmpl w:val="1D0A7ECE"/>
    <w:lvl w:ilvl="0" w:tplc="3354828E">
      <w:start w:val="1"/>
      <w:numFmt w:val="lowerRoman"/>
      <w:lvlText w:val="%1)"/>
      <w:lvlJc w:val="right"/>
      <w:pPr>
        <w:ind w:left="1020" w:hanging="360"/>
      </w:pPr>
    </w:lvl>
    <w:lvl w:ilvl="1" w:tplc="E93C3FF4">
      <w:start w:val="1"/>
      <w:numFmt w:val="lowerRoman"/>
      <w:lvlText w:val="%2)"/>
      <w:lvlJc w:val="right"/>
      <w:pPr>
        <w:ind w:left="1020" w:hanging="360"/>
      </w:pPr>
    </w:lvl>
    <w:lvl w:ilvl="2" w:tplc="E5C07C26">
      <w:start w:val="1"/>
      <w:numFmt w:val="lowerRoman"/>
      <w:lvlText w:val="%3)"/>
      <w:lvlJc w:val="right"/>
      <w:pPr>
        <w:ind w:left="1020" w:hanging="360"/>
      </w:pPr>
    </w:lvl>
    <w:lvl w:ilvl="3" w:tplc="3D78B922">
      <w:start w:val="1"/>
      <w:numFmt w:val="lowerRoman"/>
      <w:lvlText w:val="%4)"/>
      <w:lvlJc w:val="right"/>
      <w:pPr>
        <w:ind w:left="1020" w:hanging="360"/>
      </w:pPr>
    </w:lvl>
    <w:lvl w:ilvl="4" w:tplc="F7C8730A">
      <w:start w:val="1"/>
      <w:numFmt w:val="lowerRoman"/>
      <w:lvlText w:val="%5)"/>
      <w:lvlJc w:val="right"/>
      <w:pPr>
        <w:ind w:left="1020" w:hanging="360"/>
      </w:pPr>
    </w:lvl>
    <w:lvl w:ilvl="5" w:tplc="D91E0DF2">
      <w:start w:val="1"/>
      <w:numFmt w:val="lowerRoman"/>
      <w:lvlText w:val="%6)"/>
      <w:lvlJc w:val="right"/>
      <w:pPr>
        <w:ind w:left="1020" w:hanging="360"/>
      </w:pPr>
    </w:lvl>
    <w:lvl w:ilvl="6" w:tplc="46326CD6">
      <w:start w:val="1"/>
      <w:numFmt w:val="lowerRoman"/>
      <w:lvlText w:val="%7)"/>
      <w:lvlJc w:val="right"/>
      <w:pPr>
        <w:ind w:left="1020" w:hanging="360"/>
      </w:pPr>
    </w:lvl>
    <w:lvl w:ilvl="7" w:tplc="B328B266">
      <w:start w:val="1"/>
      <w:numFmt w:val="lowerRoman"/>
      <w:lvlText w:val="%8)"/>
      <w:lvlJc w:val="right"/>
      <w:pPr>
        <w:ind w:left="1020" w:hanging="360"/>
      </w:pPr>
    </w:lvl>
    <w:lvl w:ilvl="8" w:tplc="7ABE2CFC">
      <w:start w:val="1"/>
      <w:numFmt w:val="lowerRoman"/>
      <w:lvlText w:val="%9)"/>
      <w:lvlJc w:val="right"/>
      <w:pPr>
        <w:ind w:left="1020" w:hanging="360"/>
      </w:pPr>
    </w:lvl>
  </w:abstractNum>
  <w:abstractNum w:abstractNumId="33" w15:restartNumberingAfterBreak="0">
    <w:nsid w:val="47276FCE"/>
    <w:multiLevelType w:val="multilevel"/>
    <w:tmpl w:val="7C5E7F7C"/>
    <w:lvl w:ilvl="0">
      <w:start w:val="1"/>
      <w:numFmt w:val="decimal"/>
      <w:lvlText w:val="%1."/>
      <w:lvlJc w:val="left"/>
      <w:pPr>
        <w:ind w:left="0" w:hanging="700"/>
      </w:pPr>
      <w:rPr>
        <w:rFonts w:hint="default"/>
      </w:rPr>
    </w:lvl>
    <w:lvl w:ilvl="1">
      <w:start w:val="1"/>
      <w:numFmt w:val="decimal"/>
      <w:pStyle w:val="Style1"/>
      <w:lvlText w:val="%1.%2"/>
      <w:lvlJc w:val="left"/>
      <w:pPr>
        <w:ind w:left="0" w:hanging="70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48953B76"/>
    <w:multiLevelType w:val="multilevel"/>
    <w:tmpl w:val="CB5C1A90"/>
    <w:name w:val="BBScheduleList"/>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2880"/>
        </w:tabs>
        <w:ind w:left="2880"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35" w15:restartNumberingAfterBreak="0">
    <w:nsid w:val="49A8735D"/>
    <w:multiLevelType w:val="multilevel"/>
    <w:tmpl w:val="A552B57A"/>
    <w:numStyleLink w:val="Style2"/>
  </w:abstractNum>
  <w:abstractNum w:abstractNumId="36" w15:restartNumberingAfterBreak="0">
    <w:nsid w:val="4A96243A"/>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37" w15:restartNumberingAfterBreak="0">
    <w:nsid w:val="4B891A49"/>
    <w:multiLevelType w:val="multilevel"/>
    <w:tmpl w:val="DDD6DB52"/>
    <w:lvl w:ilvl="0">
      <w:start w:val="1"/>
      <w:numFmt w:val="decimal"/>
      <w:pStyle w:val="Heading1"/>
      <w:lvlText w:val="%1."/>
      <w:lvlJc w:val="left"/>
      <w:pPr>
        <w:ind w:left="709" w:hanging="709"/>
      </w:pPr>
      <w:rPr>
        <w:rFonts w:ascii="Times New Roman" w:hAnsi="Times New Roman" w:cs="Times New Roman" w:hint="default"/>
        <w:b/>
        <w:bCs/>
        <w:sz w:val="24"/>
        <w:szCs w:val="24"/>
      </w:rPr>
    </w:lvl>
    <w:lvl w:ilvl="1">
      <w:start w:val="1"/>
      <w:numFmt w:val="decimal"/>
      <w:pStyle w:val="Heading2"/>
      <w:lvlText w:val="%1.%2."/>
      <w:lvlJc w:val="left"/>
      <w:pPr>
        <w:ind w:left="709" w:hanging="709"/>
      </w:pPr>
      <w:rPr>
        <w:rFonts w:hint="default"/>
        <w:b w:val="0"/>
        <w:bCs/>
      </w:rPr>
    </w:lvl>
    <w:lvl w:ilvl="2">
      <w:start w:val="1"/>
      <w:numFmt w:val="lowerLetter"/>
      <w:pStyle w:val="Heading3"/>
      <w:lvlText w:val="(%3)"/>
      <w:lvlJc w:val="left"/>
      <w:pPr>
        <w:ind w:left="1224" w:hanging="504"/>
      </w:pPr>
      <w:rPr>
        <w:rFonts w:ascii="Times New Roman" w:hAnsi="Times New Roman" w:hint="default"/>
        <w:b w:val="0"/>
        <w:i w:val="0"/>
        <w:caps w:val="0"/>
        <w:strike w:val="0"/>
        <w:dstrike w:val="0"/>
        <w:vanish w:val="0"/>
        <w:sz w:val="24"/>
        <w:szCs w:val="24"/>
        <w:vertAlign w:val="baseline"/>
      </w:rPr>
    </w:lvl>
    <w:lvl w:ilvl="3">
      <w:start w:val="1"/>
      <w:numFmt w:val="lowerLetter"/>
      <w:lvlText w:val="(%4)"/>
      <w:lvlJc w:val="left"/>
      <w:pPr>
        <w:ind w:left="1728" w:hanging="648"/>
      </w:pPr>
      <w:rPr>
        <w:rFonts w:ascii="Times New Roman" w:eastAsia="Times New Roman" w:hAnsi="Times New Roman" w:cs="Aria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D44594"/>
    <w:multiLevelType w:val="multilevel"/>
    <w:tmpl w:val="A552B57A"/>
    <w:styleLink w:val="Style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41"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B977626"/>
    <w:multiLevelType w:val="hybridMultilevel"/>
    <w:tmpl w:val="B0842B9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63AB63A0"/>
    <w:multiLevelType w:val="hybridMultilevel"/>
    <w:tmpl w:val="14984CC6"/>
    <w:lvl w:ilvl="0" w:tplc="C630B9B0">
      <w:start w:val="1"/>
      <w:numFmt w:val="bullet"/>
      <w:pStyle w:val="ListCross"/>
      <w:lvlText w:val="û"/>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3E63555"/>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46" w15:restartNumberingAfterBreak="0">
    <w:nsid w:val="64C11B2D"/>
    <w:multiLevelType w:val="hybridMultilevel"/>
    <w:tmpl w:val="6CEC23D4"/>
    <w:lvl w:ilvl="0" w:tplc="ECD0ACDE">
      <w:start w:val="1"/>
      <w:numFmt w:val="lowerRoman"/>
      <w:lvlText w:val="%1)"/>
      <w:lvlJc w:val="right"/>
      <w:pPr>
        <w:ind w:left="720" w:hanging="360"/>
      </w:pPr>
    </w:lvl>
    <w:lvl w:ilvl="1" w:tplc="5F5A96E8">
      <w:start w:val="1"/>
      <w:numFmt w:val="lowerRoman"/>
      <w:lvlText w:val="%2)"/>
      <w:lvlJc w:val="right"/>
      <w:pPr>
        <w:ind w:left="720" w:hanging="360"/>
      </w:pPr>
    </w:lvl>
    <w:lvl w:ilvl="2" w:tplc="CB005592">
      <w:start w:val="1"/>
      <w:numFmt w:val="lowerRoman"/>
      <w:lvlText w:val="%3)"/>
      <w:lvlJc w:val="right"/>
      <w:pPr>
        <w:ind w:left="720" w:hanging="360"/>
      </w:pPr>
    </w:lvl>
    <w:lvl w:ilvl="3" w:tplc="34EA7A2A">
      <w:start w:val="1"/>
      <w:numFmt w:val="lowerRoman"/>
      <w:lvlText w:val="%4)"/>
      <w:lvlJc w:val="right"/>
      <w:pPr>
        <w:ind w:left="720" w:hanging="360"/>
      </w:pPr>
    </w:lvl>
    <w:lvl w:ilvl="4" w:tplc="1206F194">
      <w:start w:val="1"/>
      <w:numFmt w:val="lowerRoman"/>
      <w:lvlText w:val="%5)"/>
      <w:lvlJc w:val="right"/>
      <w:pPr>
        <w:ind w:left="720" w:hanging="360"/>
      </w:pPr>
    </w:lvl>
    <w:lvl w:ilvl="5" w:tplc="3A8EC46A">
      <w:start w:val="1"/>
      <w:numFmt w:val="lowerRoman"/>
      <w:lvlText w:val="%6)"/>
      <w:lvlJc w:val="right"/>
      <w:pPr>
        <w:ind w:left="720" w:hanging="360"/>
      </w:pPr>
    </w:lvl>
    <w:lvl w:ilvl="6" w:tplc="8CFC1C66">
      <w:start w:val="1"/>
      <w:numFmt w:val="lowerRoman"/>
      <w:lvlText w:val="%7)"/>
      <w:lvlJc w:val="right"/>
      <w:pPr>
        <w:ind w:left="720" w:hanging="360"/>
      </w:pPr>
    </w:lvl>
    <w:lvl w:ilvl="7" w:tplc="F3A24024">
      <w:start w:val="1"/>
      <w:numFmt w:val="lowerRoman"/>
      <w:lvlText w:val="%8)"/>
      <w:lvlJc w:val="right"/>
      <w:pPr>
        <w:ind w:left="720" w:hanging="360"/>
      </w:pPr>
    </w:lvl>
    <w:lvl w:ilvl="8" w:tplc="0BF28044">
      <w:start w:val="1"/>
      <w:numFmt w:val="lowerRoman"/>
      <w:lvlText w:val="%9)"/>
      <w:lvlJc w:val="right"/>
      <w:pPr>
        <w:ind w:left="720" w:hanging="360"/>
      </w:pPr>
    </w:lvl>
  </w:abstractNum>
  <w:abstractNum w:abstractNumId="47" w15:restartNumberingAfterBreak="0">
    <w:nsid w:val="68F24B16"/>
    <w:multiLevelType w:val="hybridMultilevel"/>
    <w:tmpl w:val="9D72A186"/>
    <w:lvl w:ilvl="0" w:tplc="3A1A862C">
      <w:start w:val="1"/>
      <w:numFmt w:val="lowerRoman"/>
      <w:lvlText w:val="%1)"/>
      <w:lvlJc w:val="right"/>
      <w:pPr>
        <w:ind w:left="1020" w:hanging="360"/>
      </w:pPr>
    </w:lvl>
    <w:lvl w:ilvl="1" w:tplc="C92894C8">
      <w:start w:val="1"/>
      <w:numFmt w:val="lowerRoman"/>
      <w:lvlText w:val="%2)"/>
      <w:lvlJc w:val="right"/>
      <w:pPr>
        <w:ind w:left="1020" w:hanging="360"/>
      </w:pPr>
    </w:lvl>
    <w:lvl w:ilvl="2" w:tplc="52284D9A">
      <w:start w:val="1"/>
      <w:numFmt w:val="lowerRoman"/>
      <w:lvlText w:val="%3)"/>
      <w:lvlJc w:val="right"/>
      <w:pPr>
        <w:ind w:left="1020" w:hanging="360"/>
      </w:pPr>
    </w:lvl>
    <w:lvl w:ilvl="3" w:tplc="961890A2">
      <w:start w:val="1"/>
      <w:numFmt w:val="lowerRoman"/>
      <w:lvlText w:val="%4)"/>
      <w:lvlJc w:val="right"/>
      <w:pPr>
        <w:ind w:left="1020" w:hanging="360"/>
      </w:pPr>
    </w:lvl>
    <w:lvl w:ilvl="4" w:tplc="10A03604">
      <w:start w:val="1"/>
      <w:numFmt w:val="lowerRoman"/>
      <w:lvlText w:val="%5)"/>
      <w:lvlJc w:val="right"/>
      <w:pPr>
        <w:ind w:left="1020" w:hanging="360"/>
      </w:pPr>
    </w:lvl>
    <w:lvl w:ilvl="5" w:tplc="A3BE2C66">
      <w:start w:val="1"/>
      <w:numFmt w:val="lowerRoman"/>
      <w:lvlText w:val="%6)"/>
      <w:lvlJc w:val="right"/>
      <w:pPr>
        <w:ind w:left="1020" w:hanging="360"/>
      </w:pPr>
    </w:lvl>
    <w:lvl w:ilvl="6" w:tplc="D3A4C0CC">
      <w:start w:val="1"/>
      <w:numFmt w:val="lowerRoman"/>
      <w:lvlText w:val="%7)"/>
      <w:lvlJc w:val="right"/>
      <w:pPr>
        <w:ind w:left="1020" w:hanging="360"/>
      </w:pPr>
    </w:lvl>
    <w:lvl w:ilvl="7" w:tplc="00169BBA">
      <w:start w:val="1"/>
      <w:numFmt w:val="lowerRoman"/>
      <w:lvlText w:val="%8)"/>
      <w:lvlJc w:val="right"/>
      <w:pPr>
        <w:ind w:left="1020" w:hanging="360"/>
      </w:pPr>
    </w:lvl>
    <w:lvl w:ilvl="8" w:tplc="D6E6CF94">
      <w:start w:val="1"/>
      <w:numFmt w:val="lowerRoman"/>
      <w:lvlText w:val="%9)"/>
      <w:lvlJc w:val="right"/>
      <w:pPr>
        <w:ind w:left="1020" w:hanging="360"/>
      </w:pPr>
    </w:lvl>
  </w:abstractNum>
  <w:abstractNum w:abstractNumId="48" w15:restartNumberingAfterBreak="0">
    <w:nsid w:val="6F195E54"/>
    <w:multiLevelType w:val="multilevel"/>
    <w:tmpl w:val="A552B57A"/>
    <w:numStyleLink w:val="Style2"/>
  </w:abstractNum>
  <w:abstractNum w:abstractNumId="49" w15:restartNumberingAfterBreak="0">
    <w:nsid w:val="70CA3A09"/>
    <w:multiLevelType w:val="hybridMultilevel"/>
    <w:tmpl w:val="4024FB46"/>
    <w:styleLink w:val="CGI-Appendix"/>
    <w:lvl w:ilvl="0" w:tplc="6AF6D14E">
      <w:start w:val="1"/>
      <w:numFmt w:val="bullet"/>
      <w:lvlText w:val=""/>
      <w:lvlJc w:val="left"/>
      <w:pPr>
        <w:ind w:left="360" w:hanging="360"/>
      </w:pPr>
      <w:rPr>
        <w:rFonts w:ascii="Symbol" w:hAnsi="Symbol" w:hint="default"/>
        <w:color w:val="1F497D" w:themeColor="text2"/>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50" w15:restartNumberingAfterBreak="0">
    <w:nsid w:val="730E1E5E"/>
    <w:multiLevelType w:val="hybridMultilevel"/>
    <w:tmpl w:val="7ACC6E7C"/>
    <w:lvl w:ilvl="0" w:tplc="0409001B">
      <w:start w:val="1"/>
      <w:numFmt w:val="bullet"/>
      <w:pStyle w:val="Textbox-Bullted"/>
      <w:lvlText w:val=""/>
      <w:lvlJc w:val="left"/>
      <w:pPr>
        <w:tabs>
          <w:tab w:val="num" w:pos="360"/>
        </w:tabs>
        <w:ind w:left="360" w:hanging="360"/>
      </w:pPr>
      <w:rPr>
        <w:rFonts w:ascii="Wingdings" w:hAnsi="Wingdings" w:hint="default"/>
        <w:sz w:val="18"/>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51" w15:restartNumberingAfterBreak="0">
    <w:nsid w:val="73624E4C"/>
    <w:multiLevelType w:val="multilevel"/>
    <w:tmpl w:val="E9B8FAE0"/>
    <w:lvl w:ilvl="0">
      <w:start w:val="1"/>
      <w:numFmt w:val="bullet"/>
      <w:lvlText w:val="•"/>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36B1909"/>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53"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8D97F81"/>
    <w:multiLevelType w:val="multilevel"/>
    <w:tmpl w:val="4D58B9D6"/>
    <w:lvl w:ilvl="0">
      <w:start w:val="1"/>
      <w:numFmt w:val="decimal"/>
      <w:pStyle w:val="H1Heading-OLD"/>
      <w:lvlText w:val="%1"/>
      <w:lvlJc w:val="left"/>
      <w:pPr>
        <w:tabs>
          <w:tab w:val="num" w:pos="709"/>
        </w:tabs>
        <w:ind w:left="709" w:hanging="709"/>
      </w:pPr>
      <w:rPr>
        <w:rFonts w:hint="default"/>
      </w:rPr>
    </w:lvl>
    <w:lvl w:ilvl="1">
      <w:start w:val="1"/>
      <w:numFmt w:val="decimal"/>
      <w:pStyle w:val="H11Heading-OLD"/>
      <w:lvlText w:val="%1.%2"/>
      <w:lvlJc w:val="left"/>
      <w:pPr>
        <w:tabs>
          <w:tab w:val="num" w:pos="709"/>
        </w:tabs>
        <w:ind w:left="709" w:hanging="709"/>
      </w:pPr>
      <w:rPr>
        <w:rFonts w:hint="default"/>
      </w:rPr>
    </w:lvl>
    <w:lvl w:ilvl="2">
      <w:start w:val="1"/>
      <w:numFmt w:val="lowerLetter"/>
      <w:pStyle w:val="a-b-c"/>
      <w:lvlText w:val="(%3)"/>
      <w:lvlJc w:val="left"/>
      <w:pPr>
        <w:tabs>
          <w:tab w:val="num" w:pos="1702"/>
        </w:tabs>
        <w:ind w:left="1702" w:hanging="709"/>
      </w:pPr>
      <w:rPr>
        <w:rFonts w:hint="default"/>
      </w:rPr>
    </w:lvl>
    <w:lvl w:ilvl="3">
      <w:start w:val="1"/>
      <w:numFmt w:val="lowerRoman"/>
      <w:pStyle w:val="i-ii-iii"/>
      <w:lvlText w:val="(%4)"/>
      <w:lvlJc w:val="left"/>
      <w:pPr>
        <w:tabs>
          <w:tab w:val="num" w:pos="1985"/>
        </w:tabs>
        <w:ind w:left="1985" w:hanging="567"/>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36266848">
    <w:abstractNumId w:val="40"/>
  </w:num>
  <w:num w:numId="2" w16cid:durableId="1998875833">
    <w:abstractNumId w:val="23"/>
  </w:num>
  <w:num w:numId="3" w16cid:durableId="961426561">
    <w:abstractNumId w:val="7"/>
  </w:num>
  <w:num w:numId="4" w16cid:durableId="2147311175">
    <w:abstractNumId w:val="54"/>
  </w:num>
  <w:num w:numId="5" w16cid:durableId="824202429">
    <w:abstractNumId w:val="6"/>
  </w:num>
  <w:num w:numId="6" w16cid:durableId="45417836">
    <w:abstractNumId w:val="2"/>
  </w:num>
  <w:num w:numId="7" w16cid:durableId="816074019">
    <w:abstractNumId w:val="1"/>
  </w:num>
  <w:num w:numId="8" w16cid:durableId="657656921">
    <w:abstractNumId w:val="0"/>
  </w:num>
  <w:num w:numId="9" w16cid:durableId="1291353061">
    <w:abstractNumId w:val="28"/>
  </w:num>
  <w:num w:numId="10" w16cid:durableId="1897626272">
    <w:abstractNumId w:val="5"/>
  </w:num>
  <w:num w:numId="11" w16cid:durableId="994991323">
    <w:abstractNumId w:val="4"/>
  </w:num>
  <w:num w:numId="12" w16cid:durableId="48657229">
    <w:abstractNumId w:val="3"/>
  </w:num>
  <w:num w:numId="13" w16cid:durableId="569660602">
    <w:abstractNumId w:val="42"/>
  </w:num>
  <w:num w:numId="14" w16cid:durableId="1056316386">
    <w:abstractNumId w:val="43"/>
  </w:num>
  <w:num w:numId="15" w16cid:durableId="395931156">
    <w:abstractNumId w:val="14"/>
  </w:num>
  <w:num w:numId="16" w16cid:durableId="499276936">
    <w:abstractNumId w:val="53"/>
  </w:num>
  <w:num w:numId="17" w16cid:durableId="340201462">
    <w:abstractNumId w:val="39"/>
  </w:num>
  <w:num w:numId="18" w16cid:durableId="1695686432">
    <w:abstractNumId w:val="38"/>
  </w:num>
  <w:num w:numId="19" w16cid:durableId="145125994">
    <w:abstractNumId w:val="27"/>
  </w:num>
  <w:num w:numId="20" w16cid:durableId="1001351043">
    <w:abstractNumId w:val="41"/>
  </w:num>
  <w:num w:numId="21" w16cid:durableId="363404846">
    <w:abstractNumId w:val="44"/>
  </w:num>
  <w:num w:numId="22" w16cid:durableId="454714580">
    <w:abstractNumId w:val="25"/>
  </w:num>
  <w:num w:numId="23" w16cid:durableId="1895458560">
    <w:abstractNumId w:val="8"/>
  </w:num>
  <w:num w:numId="24" w16cid:durableId="1153328531">
    <w:abstractNumId w:val="49"/>
  </w:num>
  <w:num w:numId="25" w16cid:durableId="4538372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2339554">
    <w:abstractNumId w:val="15"/>
  </w:num>
  <w:num w:numId="27" w16cid:durableId="1590239738">
    <w:abstractNumId w:val="26"/>
  </w:num>
  <w:num w:numId="28" w16cid:durableId="969556884">
    <w:abstractNumId w:val="24"/>
  </w:num>
  <w:num w:numId="29" w16cid:durableId="2003925373">
    <w:abstractNumId w:val="50"/>
  </w:num>
  <w:num w:numId="30" w16cid:durableId="1728260634">
    <w:abstractNumId w:val="17"/>
  </w:num>
  <w:num w:numId="31" w16cid:durableId="1230654617">
    <w:abstractNumId w:val="22"/>
  </w:num>
  <w:num w:numId="32" w16cid:durableId="353386030">
    <w:abstractNumId w:val="31"/>
  </w:num>
  <w:num w:numId="33" w16cid:durableId="1472939258">
    <w:abstractNumId w:val="10"/>
  </w:num>
  <w:num w:numId="34" w16cid:durableId="1503473170">
    <w:abstractNumId w:val="19"/>
  </w:num>
  <w:num w:numId="35" w16cid:durableId="1241913529">
    <w:abstractNumId w:val="9"/>
  </w:num>
  <w:num w:numId="36" w16cid:durableId="1868710108">
    <w:abstractNumId w:val="12"/>
  </w:num>
  <w:num w:numId="37" w16cid:durableId="989364167">
    <w:abstractNumId w:val="37"/>
  </w:num>
  <w:num w:numId="38" w16cid:durableId="9924890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325760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112746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51970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726548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99212314">
    <w:abstractNumId w:val="16"/>
  </w:num>
  <w:num w:numId="44" w16cid:durableId="626161095">
    <w:abstractNumId w:val="21"/>
  </w:num>
  <w:num w:numId="45" w16cid:durableId="1550141035">
    <w:abstractNumId w:val="30"/>
  </w:num>
  <w:num w:numId="46" w16cid:durableId="801383937">
    <w:abstractNumId w:val="29"/>
  </w:num>
  <w:num w:numId="47" w16cid:durableId="73553213">
    <w:abstractNumId w:val="51"/>
  </w:num>
  <w:num w:numId="48" w16cid:durableId="1841039227">
    <w:abstractNumId w:val="20"/>
  </w:num>
  <w:num w:numId="49" w16cid:durableId="739601342">
    <w:abstractNumId w:val="13"/>
  </w:num>
  <w:num w:numId="50" w16cid:durableId="461384569">
    <w:abstractNumId w:val="48"/>
  </w:num>
  <w:num w:numId="51" w16cid:durableId="1332176961">
    <w:abstractNumId w:val="35"/>
  </w:num>
  <w:num w:numId="52" w16cid:durableId="568079199">
    <w:abstractNumId w:val="18"/>
  </w:num>
  <w:num w:numId="53" w16cid:durableId="916356656">
    <w:abstractNumId w:val="11"/>
  </w:num>
  <w:num w:numId="54" w16cid:durableId="886988809">
    <w:abstractNumId w:val="33"/>
  </w:num>
  <w:num w:numId="55" w16cid:durableId="801076610">
    <w:abstractNumId w:val="45"/>
  </w:num>
  <w:num w:numId="56" w16cid:durableId="1858814347">
    <w:abstractNumId w:val="36"/>
  </w:num>
  <w:num w:numId="57" w16cid:durableId="784695046">
    <w:abstractNumId w:val="52"/>
  </w:num>
  <w:num w:numId="58" w16cid:durableId="8669838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3524194">
    <w:abstractNumId w:val="47"/>
  </w:num>
  <w:num w:numId="60" w16cid:durableId="616836270">
    <w:abstractNumId w:val="46"/>
  </w:num>
  <w:num w:numId="61" w16cid:durableId="271674034">
    <w:abstractNumId w:val="32"/>
  </w:num>
  <w:num w:numId="62" w16cid:durableId="627976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D98"/>
    <w:rsid w:val="00000957"/>
    <w:rsid w:val="00001068"/>
    <w:rsid w:val="0000114A"/>
    <w:rsid w:val="00002027"/>
    <w:rsid w:val="00002781"/>
    <w:rsid w:val="00003CD7"/>
    <w:rsid w:val="000044D7"/>
    <w:rsid w:val="00004A8F"/>
    <w:rsid w:val="00004C87"/>
    <w:rsid w:val="00004E00"/>
    <w:rsid w:val="00005845"/>
    <w:rsid w:val="00005A74"/>
    <w:rsid w:val="00005E27"/>
    <w:rsid w:val="00005E71"/>
    <w:rsid w:val="00005FAD"/>
    <w:rsid w:val="000069B4"/>
    <w:rsid w:val="000077E5"/>
    <w:rsid w:val="0001032D"/>
    <w:rsid w:val="00011318"/>
    <w:rsid w:val="00011493"/>
    <w:rsid w:val="00012035"/>
    <w:rsid w:val="00012446"/>
    <w:rsid w:val="000148A1"/>
    <w:rsid w:val="00017BB8"/>
    <w:rsid w:val="00020C33"/>
    <w:rsid w:val="00021610"/>
    <w:rsid w:val="00023050"/>
    <w:rsid w:val="00023D35"/>
    <w:rsid w:val="00023E0D"/>
    <w:rsid w:val="00025A24"/>
    <w:rsid w:val="00025C14"/>
    <w:rsid w:val="00026AB3"/>
    <w:rsid w:val="000270E1"/>
    <w:rsid w:val="0002797A"/>
    <w:rsid w:val="00027F59"/>
    <w:rsid w:val="00027F9E"/>
    <w:rsid w:val="00030BE4"/>
    <w:rsid w:val="00030C04"/>
    <w:rsid w:val="00030C32"/>
    <w:rsid w:val="00032DCD"/>
    <w:rsid w:val="00033643"/>
    <w:rsid w:val="00034879"/>
    <w:rsid w:val="0003525E"/>
    <w:rsid w:val="000357B9"/>
    <w:rsid w:val="00036480"/>
    <w:rsid w:val="00036E16"/>
    <w:rsid w:val="000377B2"/>
    <w:rsid w:val="00037A9E"/>
    <w:rsid w:val="000403A0"/>
    <w:rsid w:val="00040B1B"/>
    <w:rsid w:val="0004176E"/>
    <w:rsid w:val="00041967"/>
    <w:rsid w:val="0004265D"/>
    <w:rsid w:val="00042D43"/>
    <w:rsid w:val="000449B6"/>
    <w:rsid w:val="00046E13"/>
    <w:rsid w:val="000472AE"/>
    <w:rsid w:val="0005067E"/>
    <w:rsid w:val="00050A2D"/>
    <w:rsid w:val="00050AF7"/>
    <w:rsid w:val="00050F09"/>
    <w:rsid w:val="00051745"/>
    <w:rsid w:val="000522CD"/>
    <w:rsid w:val="0005253F"/>
    <w:rsid w:val="0005254B"/>
    <w:rsid w:val="00055346"/>
    <w:rsid w:val="000561D8"/>
    <w:rsid w:val="000564F9"/>
    <w:rsid w:val="00056D1A"/>
    <w:rsid w:val="00056DEE"/>
    <w:rsid w:val="000570C8"/>
    <w:rsid w:val="000575A4"/>
    <w:rsid w:val="00057FA0"/>
    <w:rsid w:val="000600B3"/>
    <w:rsid w:val="0006108A"/>
    <w:rsid w:val="0006171B"/>
    <w:rsid w:val="00061857"/>
    <w:rsid w:val="00061BAD"/>
    <w:rsid w:val="00063560"/>
    <w:rsid w:val="000641CC"/>
    <w:rsid w:val="0006429E"/>
    <w:rsid w:val="000651E0"/>
    <w:rsid w:val="000659D9"/>
    <w:rsid w:val="0006609D"/>
    <w:rsid w:val="00067853"/>
    <w:rsid w:val="00067CEA"/>
    <w:rsid w:val="000703E9"/>
    <w:rsid w:val="000715E0"/>
    <w:rsid w:val="00072E93"/>
    <w:rsid w:val="00073012"/>
    <w:rsid w:val="00073442"/>
    <w:rsid w:val="000734C4"/>
    <w:rsid w:val="00073F36"/>
    <w:rsid w:val="0007413F"/>
    <w:rsid w:val="000741EA"/>
    <w:rsid w:val="00074305"/>
    <w:rsid w:val="00074C1D"/>
    <w:rsid w:val="00075105"/>
    <w:rsid w:val="00076E04"/>
    <w:rsid w:val="0007702D"/>
    <w:rsid w:val="000770B1"/>
    <w:rsid w:val="00080732"/>
    <w:rsid w:val="00080EE2"/>
    <w:rsid w:val="00082DB1"/>
    <w:rsid w:val="00083873"/>
    <w:rsid w:val="000873E7"/>
    <w:rsid w:val="0009021F"/>
    <w:rsid w:val="0009073E"/>
    <w:rsid w:val="0009273F"/>
    <w:rsid w:val="00092857"/>
    <w:rsid w:val="00092E90"/>
    <w:rsid w:val="000932FB"/>
    <w:rsid w:val="00093F1B"/>
    <w:rsid w:val="0009417E"/>
    <w:rsid w:val="00094957"/>
    <w:rsid w:val="000954A9"/>
    <w:rsid w:val="00097CC2"/>
    <w:rsid w:val="000A0CAC"/>
    <w:rsid w:val="000A1E88"/>
    <w:rsid w:val="000A2680"/>
    <w:rsid w:val="000A274F"/>
    <w:rsid w:val="000A2839"/>
    <w:rsid w:val="000A30C2"/>
    <w:rsid w:val="000A4B49"/>
    <w:rsid w:val="000A517B"/>
    <w:rsid w:val="000A5FCE"/>
    <w:rsid w:val="000A6742"/>
    <w:rsid w:val="000A6BFF"/>
    <w:rsid w:val="000A7E8C"/>
    <w:rsid w:val="000B0771"/>
    <w:rsid w:val="000B0ABF"/>
    <w:rsid w:val="000B21A9"/>
    <w:rsid w:val="000B21FF"/>
    <w:rsid w:val="000B252C"/>
    <w:rsid w:val="000B2A9B"/>
    <w:rsid w:val="000B3AE5"/>
    <w:rsid w:val="000B511E"/>
    <w:rsid w:val="000B5381"/>
    <w:rsid w:val="000B6907"/>
    <w:rsid w:val="000C071B"/>
    <w:rsid w:val="000C0DA3"/>
    <w:rsid w:val="000C0F82"/>
    <w:rsid w:val="000C1988"/>
    <w:rsid w:val="000C2249"/>
    <w:rsid w:val="000C25E7"/>
    <w:rsid w:val="000C2BEC"/>
    <w:rsid w:val="000C33BC"/>
    <w:rsid w:val="000C5E67"/>
    <w:rsid w:val="000C689D"/>
    <w:rsid w:val="000C6D9B"/>
    <w:rsid w:val="000C74B4"/>
    <w:rsid w:val="000C779F"/>
    <w:rsid w:val="000D0022"/>
    <w:rsid w:val="000D0C9C"/>
    <w:rsid w:val="000D0DCC"/>
    <w:rsid w:val="000D0F69"/>
    <w:rsid w:val="000D1457"/>
    <w:rsid w:val="000D2423"/>
    <w:rsid w:val="000D2E0F"/>
    <w:rsid w:val="000D405F"/>
    <w:rsid w:val="000D4C5C"/>
    <w:rsid w:val="000D57FE"/>
    <w:rsid w:val="000D5836"/>
    <w:rsid w:val="000D5D5C"/>
    <w:rsid w:val="000D5F77"/>
    <w:rsid w:val="000D7155"/>
    <w:rsid w:val="000D72CD"/>
    <w:rsid w:val="000E0BCB"/>
    <w:rsid w:val="000E0BEA"/>
    <w:rsid w:val="000E20D2"/>
    <w:rsid w:val="000E252D"/>
    <w:rsid w:val="000E4015"/>
    <w:rsid w:val="000E4C80"/>
    <w:rsid w:val="000E67FE"/>
    <w:rsid w:val="000E7992"/>
    <w:rsid w:val="000E7EB5"/>
    <w:rsid w:val="000F01C8"/>
    <w:rsid w:val="000F0280"/>
    <w:rsid w:val="000F028B"/>
    <w:rsid w:val="000F2236"/>
    <w:rsid w:val="000F2E74"/>
    <w:rsid w:val="000F2FB2"/>
    <w:rsid w:val="000F3242"/>
    <w:rsid w:val="000F363A"/>
    <w:rsid w:val="000F39EA"/>
    <w:rsid w:val="000F3D9B"/>
    <w:rsid w:val="000F523A"/>
    <w:rsid w:val="000F5B1B"/>
    <w:rsid w:val="000F5F31"/>
    <w:rsid w:val="000F6E8C"/>
    <w:rsid w:val="000F7E6A"/>
    <w:rsid w:val="00101C8D"/>
    <w:rsid w:val="0010223F"/>
    <w:rsid w:val="00102C33"/>
    <w:rsid w:val="001036F3"/>
    <w:rsid w:val="00103702"/>
    <w:rsid w:val="00103943"/>
    <w:rsid w:val="00103B92"/>
    <w:rsid w:val="00103CB9"/>
    <w:rsid w:val="0010442A"/>
    <w:rsid w:val="00104DC5"/>
    <w:rsid w:val="00105FF9"/>
    <w:rsid w:val="0010609F"/>
    <w:rsid w:val="00107BB3"/>
    <w:rsid w:val="00110740"/>
    <w:rsid w:val="001126FB"/>
    <w:rsid w:val="001137BE"/>
    <w:rsid w:val="0011384A"/>
    <w:rsid w:val="00113B77"/>
    <w:rsid w:val="0011405E"/>
    <w:rsid w:val="001145AE"/>
    <w:rsid w:val="00114FFE"/>
    <w:rsid w:val="001162BA"/>
    <w:rsid w:val="00116573"/>
    <w:rsid w:val="001168B6"/>
    <w:rsid w:val="001175CE"/>
    <w:rsid w:val="00117C5E"/>
    <w:rsid w:val="00117D1F"/>
    <w:rsid w:val="00117DEF"/>
    <w:rsid w:val="001200F2"/>
    <w:rsid w:val="00121A02"/>
    <w:rsid w:val="00121F2F"/>
    <w:rsid w:val="00122880"/>
    <w:rsid w:val="00123249"/>
    <w:rsid w:val="0012414F"/>
    <w:rsid w:val="00124B0F"/>
    <w:rsid w:val="001255C6"/>
    <w:rsid w:val="0012575F"/>
    <w:rsid w:val="00125EF2"/>
    <w:rsid w:val="00126200"/>
    <w:rsid w:val="001262A4"/>
    <w:rsid w:val="001275C3"/>
    <w:rsid w:val="001300F4"/>
    <w:rsid w:val="00130853"/>
    <w:rsid w:val="001308B8"/>
    <w:rsid w:val="00131623"/>
    <w:rsid w:val="00131EFD"/>
    <w:rsid w:val="00133091"/>
    <w:rsid w:val="00134128"/>
    <w:rsid w:val="001343AA"/>
    <w:rsid w:val="0013504A"/>
    <w:rsid w:val="00135850"/>
    <w:rsid w:val="00137223"/>
    <w:rsid w:val="00137596"/>
    <w:rsid w:val="00137CB0"/>
    <w:rsid w:val="00141C0B"/>
    <w:rsid w:val="00141DEF"/>
    <w:rsid w:val="001426B8"/>
    <w:rsid w:val="001440A4"/>
    <w:rsid w:val="001444A3"/>
    <w:rsid w:val="00144F17"/>
    <w:rsid w:val="00145E41"/>
    <w:rsid w:val="00146494"/>
    <w:rsid w:val="001468DB"/>
    <w:rsid w:val="00146E10"/>
    <w:rsid w:val="00147E3D"/>
    <w:rsid w:val="00150C0D"/>
    <w:rsid w:val="00153BD9"/>
    <w:rsid w:val="00153C11"/>
    <w:rsid w:val="00154416"/>
    <w:rsid w:val="001544CC"/>
    <w:rsid w:val="00154D1C"/>
    <w:rsid w:val="00155CDE"/>
    <w:rsid w:val="00156141"/>
    <w:rsid w:val="00156817"/>
    <w:rsid w:val="0015796F"/>
    <w:rsid w:val="0016000F"/>
    <w:rsid w:val="00160F69"/>
    <w:rsid w:val="001621B6"/>
    <w:rsid w:val="00162781"/>
    <w:rsid w:val="001627C3"/>
    <w:rsid w:val="001638BB"/>
    <w:rsid w:val="001664A4"/>
    <w:rsid w:val="0016679D"/>
    <w:rsid w:val="00166C9B"/>
    <w:rsid w:val="001724D3"/>
    <w:rsid w:val="00174E20"/>
    <w:rsid w:val="00176CCB"/>
    <w:rsid w:val="00176F0B"/>
    <w:rsid w:val="001776CF"/>
    <w:rsid w:val="00177C31"/>
    <w:rsid w:val="001803B6"/>
    <w:rsid w:val="001804DD"/>
    <w:rsid w:val="0018085C"/>
    <w:rsid w:val="0018096D"/>
    <w:rsid w:val="00180BF5"/>
    <w:rsid w:val="00181BB6"/>
    <w:rsid w:val="00182018"/>
    <w:rsid w:val="001822BD"/>
    <w:rsid w:val="00182E23"/>
    <w:rsid w:val="00183A37"/>
    <w:rsid w:val="0018415C"/>
    <w:rsid w:val="00185AC0"/>
    <w:rsid w:val="00187689"/>
    <w:rsid w:val="001900C7"/>
    <w:rsid w:val="00191F08"/>
    <w:rsid w:val="001927E8"/>
    <w:rsid w:val="001930F0"/>
    <w:rsid w:val="00194926"/>
    <w:rsid w:val="00195700"/>
    <w:rsid w:val="00195922"/>
    <w:rsid w:val="00197BA3"/>
    <w:rsid w:val="001A0235"/>
    <w:rsid w:val="001A06B7"/>
    <w:rsid w:val="001A0A4A"/>
    <w:rsid w:val="001A0B95"/>
    <w:rsid w:val="001A1339"/>
    <w:rsid w:val="001A184F"/>
    <w:rsid w:val="001A41A8"/>
    <w:rsid w:val="001A483B"/>
    <w:rsid w:val="001A4CD2"/>
    <w:rsid w:val="001A4E45"/>
    <w:rsid w:val="001A57CD"/>
    <w:rsid w:val="001A5829"/>
    <w:rsid w:val="001A6014"/>
    <w:rsid w:val="001A7D86"/>
    <w:rsid w:val="001B0AA9"/>
    <w:rsid w:val="001B1690"/>
    <w:rsid w:val="001B173D"/>
    <w:rsid w:val="001B1B41"/>
    <w:rsid w:val="001B2E6B"/>
    <w:rsid w:val="001B397C"/>
    <w:rsid w:val="001B3B6A"/>
    <w:rsid w:val="001B4EC6"/>
    <w:rsid w:val="001B51C6"/>
    <w:rsid w:val="001B5293"/>
    <w:rsid w:val="001B5D2F"/>
    <w:rsid w:val="001B657D"/>
    <w:rsid w:val="001B66F6"/>
    <w:rsid w:val="001B783D"/>
    <w:rsid w:val="001C04CD"/>
    <w:rsid w:val="001C0C87"/>
    <w:rsid w:val="001C0D81"/>
    <w:rsid w:val="001C24BB"/>
    <w:rsid w:val="001C2DD9"/>
    <w:rsid w:val="001C34B5"/>
    <w:rsid w:val="001C59F4"/>
    <w:rsid w:val="001C5BE2"/>
    <w:rsid w:val="001C6AE4"/>
    <w:rsid w:val="001C6B70"/>
    <w:rsid w:val="001C7043"/>
    <w:rsid w:val="001C70DF"/>
    <w:rsid w:val="001C737F"/>
    <w:rsid w:val="001C7713"/>
    <w:rsid w:val="001C7B42"/>
    <w:rsid w:val="001C7CC5"/>
    <w:rsid w:val="001D21F1"/>
    <w:rsid w:val="001D22C5"/>
    <w:rsid w:val="001D24AE"/>
    <w:rsid w:val="001D282C"/>
    <w:rsid w:val="001D3ABE"/>
    <w:rsid w:val="001D503B"/>
    <w:rsid w:val="001D5289"/>
    <w:rsid w:val="001D5A25"/>
    <w:rsid w:val="001D5D49"/>
    <w:rsid w:val="001D69F2"/>
    <w:rsid w:val="001D7237"/>
    <w:rsid w:val="001E140C"/>
    <w:rsid w:val="001E1502"/>
    <w:rsid w:val="001E1DC4"/>
    <w:rsid w:val="001E255C"/>
    <w:rsid w:val="001E3674"/>
    <w:rsid w:val="001E3B45"/>
    <w:rsid w:val="001E4248"/>
    <w:rsid w:val="001E42E3"/>
    <w:rsid w:val="001E4950"/>
    <w:rsid w:val="001E4D33"/>
    <w:rsid w:val="001E5574"/>
    <w:rsid w:val="001E65BD"/>
    <w:rsid w:val="001E6BA3"/>
    <w:rsid w:val="001F0238"/>
    <w:rsid w:val="001F05CC"/>
    <w:rsid w:val="001F06C1"/>
    <w:rsid w:val="001F08E5"/>
    <w:rsid w:val="001F14A8"/>
    <w:rsid w:val="001F1643"/>
    <w:rsid w:val="001F19D2"/>
    <w:rsid w:val="001F1C45"/>
    <w:rsid w:val="001F1D0B"/>
    <w:rsid w:val="001F2A8D"/>
    <w:rsid w:val="001F2ABF"/>
    <w:rsid w:val="001F2D65"/>
    <w:rsid w:val="001F33BB"/>
    <w:rsid w:val="001F33E7"/>
    <w:rsid w:val="001F35B2"/>
    <w:rsid w:val="001F3CA4"/>
    <w:rsid w:val="001F490F"/>
    <w:rsid w:val="001F5873"/>
    <w:rsid w:val="001F621D"/>
    <w:rsid w:val="001F70B6"/>
    <w:rsid w:val="001F7761"/>
    <w:rsid w:val="002001B1"/>
    <w:rsid w:val="00200C59"/>
    <w:rsid w:val="00201C19"/>
    <w:rsid w:val="00202986"/>
    <w:rsid w:val="002030BA"/>
    <w:rsid w:val="0020516E"/>
    <w:rsid w:val="00205C87"/>
    <w:rsid w:val="002103CA"/>
    <w:rsid w:val="002104B3"/>
    <w:rsid w:val="0021185F"/>
    <w:rsid w:val="00211F7D"/>
    <w:rsid w:val="00212635"/>
    <w:rsid w:val="00212CA0"/>
    <w:rsid w:val="00212F5F"/>
    <w:rsid w:val="002133FF"/>
    <w:rsid w:val="0021462C"/>
    <w:rsid w:val="002165FA"/>
    <w:rsid w:val="00216987"/>
    <w:rsid w:val="00216A57"/>
    <w:rsid w:val="002170AC"/>
    <w:rsid w:val="00217848"/>
    <w:rsid w:val="0022012E"/>
    <w:rsid w:val="002211A4"/>
    <w:rsid w:val="00221BC4"/>
    <w:rsid w:val="0022221A"/>
    <w:rsid w:val="00222F9C"/>
    <w:rsid w:val="00223713"/>
    <w:rsid w:val="002243D4"/>
    <w:rsid w:val="002247D4"/>
    <w:rsid w:val="00224DF5"/>
    <w:rsid w:val="00226A4D"/>
    <w:rsid w:val="002270EE"/>
    <w:rsid w:val="002273F3"/>
    <w:rsid w:val="002300E9"/>
    <w:rsid w:val="00230396"/>
    <w:rsid w:val="00231140"/>
    <w:rsid w:val="00231C8C"/>
    <w:rsid w:val="00232E2E"/>
    <w:rsid w:val="0023331C"/>
    <w:rsid w:val="00233B66"/>
    <w:rsid w:val="00233BB7"/>
    <w:rsid w:val="002346DA"/>
    <w:rsid w:val="002348A5"/>
    <w:rsid w:val="002353D4"/>
    <w:rsid w:val="00236153"/>
    <w:rsid w:val="002376CD"/>
    <w:rsid w:val="00237872"/>
    <w:rsid w:val="00237EBA"/>
    <w:rsid w:val="00240D32"/>
    <w:rsid w:val="00240FE5"/>
    <w:rsid w:val="00242F66"/>
    <w:rsid w:val="00244368"/>
    <w:rsid w:val="002455B7"/>
    <w:rsid w:val="0025029E"/>
    <w:rsid w:val="00250878"/>
    <w:rsid w:val="00250CB6"/>
    <w:rsid w:val="00251A99"/>
    <w:rsid w:val="00252158"/>
    <w:rsid w:val="002527C9"/>
    <w:rsid w:val="00254151"/>
    <w:rsid w:val="00254E0B"/>
    <w:rsid w:val="00254F8C"/>
    <w:rsid w:val="0025511D"/>
    <w:rsid w:val="00260B19"/>
    <w:rsid w:val="00260D78"/>
    <w:rsid w:val="00260E1B"/>
    <w:rsid w:val="00261022"/>
    <w:rsid w:val="00261226"/>
    <w:rsid w:val="00263581"/>
    <w:rsid w:val="00263FAC"/>
    <w:rsid w:val="0026456F"/>
    <w:rsid w:val="002660B7"/>
    <w:rsid w:val="00266FC2"/>
    <w:rsid w:val="00267707"/>
    <w:rsid w:val="002704A6"/>
    <w:rsid w:val="00270AFB"/>
    <w:rsid w:val="00272CD6"/>
    <w:rsid w:val="00273466"/>
    <w:rsid w:val="00274FB0"/>
    <w:rsid w:val="00276541"/>
    <w:rsid w:val="00276E8E"/>
    <w:rsid w:val="0027731E"/>
    <w:rsid w:val="0027747C"/>
    <w:rsid w:val="00280264"/>
    <w:rsid w:val="0028049B"/>
    <w:rsid w:val="002818E7"/>
    <w:rsid w:val="00282A84"/>
    <w:rsid w:val="00282D95"/>
    <w:rsid w:val="00283713"/>
    <w:rsid w:val="00283CD1"/>
    <w:rsid w:val="00285A39"/>
    <w:rsid w:val="00285E4D"/>
    <w:rsid w:val="00285EB8"/>
    <w:rsid w:val="00286758"/>
    <w:rsid w:val="0028691A"/>
    <w:rsid w:val="00286DD6"/>
    <w:rsid w:val="00287A5F"/>
    <w:rsid w:val="00287AB3"/>
    <w:rsid w:val="00287D1C"/>
    <w:rsid w:val="00287EFD"/>
    <w:rsid w:val="00287F09"/>
    <w:rsid w:val="00293875"/>
    <w:rsid w:val="002940D0"/>
    <w:rsid w:val="002942C0"/>
    <w:rsid w:val="00295574"/>
    <w:rsid w:val="00295735"/>
    <w:rsid w:val="002959D5"/>
    <w:rsid w:val="00295A9F"/>
    <w:rsid w:val="0029712F"/>
    <w:rsid w:val="00297131"/>
    <w:rsid w:val="00297139"/>
    <w:rsid w:val="002A01CB"/>
    <w:rsid w:val="002A0850"/>
    <w:rsid w:val="002A0B7F"/>
    <w:rsid w:val="002A0FDA"/>
    <w:rsid w:val="002A1138"/>
    <w:rsid w:val="002A1A63"/>
    <w:rsid w:val="002A1D5D"/>
    <w:rsid w:val="002A33D2"/>
    <w:rsid w:val="002A4A31"/>
    <w:rsid w:val="002A7EAA"/>
    <w:rsid w:val="002B0B90"/>
    <w:rsid w:val="002B14B7"/>
    <w:rsid w:val="002B1ED3"/>
    <w:rsid w:val="002B1F2F"/>
    <w:rsid w:val="002B1FA6"/>
    <w:rsid w:val="002B3694"/>
    <w:rsid w:val="002B3A0C"/>
    <w:rsid w:val="002B44A7"/>
    <w:rsid w:val="002B4EA7"/>
    <w:rsid w:val="002B55E9"/>
    <w:rsid w:val="002B6F5B"/>
    <w:rsid w:val="002B7B7A"/>
    <w:rsid w:val="002B7C56"/>
    <w:rsid w:val="002C0E12"/>
    <w:rsid w:val="002C0F57"/>
    <w:rsid w:val="002C115E"/>
    <w:rsid w:val="002C12CD"/>
    <w:rsid w:val="002C482D"/>
    <w:rsid w:val="002C497A"/>
    <w:rsid w:val="002C52CD"/>
    <w:rsid w:val="002C55AB"/>
    <w:rsid w:val="002C6483"/>
    <w:rsid w:val="002C6AE7"/>
    <w:rsid w:val="002C6F35"/>
    <w:rsid w:val="002C7249"/>
    <w:rsid w:val="002C733D"/>
    <w:rsid w:val="002C758A"/>
    <w:rsid w:val="002C7DB0"/>
    <w:rsid w:val="002D0653"/>
    <w:rsid w:val="002D07CC"/>
    <w:rsid w:val="002D09A9"/>
    <w:rsid w:val="002D0A4A"/>
    <w:rsid w:val="002D1CCA"/>
    <w:rsid w:val="002D2122"/>
    <w:rsid w:val="002D2C4B"/>
    <w:rsid w:val="002D59E9"/>
    <w:rsid w:val="002D6C07"/>
    <w:rsid w:val="002D73D2"/>
    <w:rsid w:val="002E1296"/>
    <w:rsid w:val="002E1FBF"/>
    <w:rsid w:val="002E3C0E"/>
    <w:rsid w:val="002E3DAF"/>
    <w:rsid w:val="002E3E2F"/>
    <w:rsid w:val="002E4544"/>
    <w:rsid w:val="002E54A4"/>
    <w:rsid w:val="002E5880"/>
    <w:rsid w:val="002E5891"/>
    <w:rsid w:val="002E596F"/>
    <w:rsid w:val="002E69CF"/>
    <w:rsid w:val="002E7705"/>
    <w:rsid w:val="002E7F49"/>
    <w:rsid w:val="002E7F4E"/>
    <w:rsid w:val="002F0459"/>
    <w:rsid w:val="002F04A6"/>
    <w:rsid w:val="002F22B3"/>
    <w:rsid w:val="002F3C2F"/>
    <w:rsid w:val="002F3E80"/>
    <w:rsid w:val="002F43DD"/>
    <w:rsid w:val="002F4437"/>
    <w:rsid w:val="002F4F29"/>
    <w:rsid w:val="002F52C7"/>
    <w:rsid w:val="002F6DB7"/>
    <w:rsid w:val="002F7909"/>
    <w:rsid w:val="002F7D95"/>
    <w:rsid w:val="00300357"/>
    <w:rsid w:val="00300650"/>
    <w:rsid w:val="00300D4D"/>
    <w:rsid w:val="00302461"/>
    <w:rsid w:val="00302D41"/>
    <w:rsid w:val="00302EB7"/>
    <w:rsid w:val="0030372A"/>
    <w:rsid w:val="003037F8"/>
    <w:rsid w:val="003038D7"/>
    <w:rsid w:val="00303AD2"/>
    <w:rsid w:val="00304EE0"/>
    <w:rsid w:val="003051F2"/>
    <w:rsid w:val="0030543F"/>
    <w:rsid w:val="00305A4F"/>
    <w:rsid w:val="00306EE5"/>
    <w:rsid w:val="0030745A"/>
    <w:rsid w:val="00307BC2"/>
    <w:rsid w:val="0031129F"/>
    <w:rsid w:val="00312430"/>
    <w:rsid w:val="003138E8"/>
    <w:rsid w:val="00314F14"/>
    <w:rsid w:val="00315703"/>
    <w:rsid w:val="003160E0"/>
    <w:rsid w:val="00317B02"/>
    <w:rsid w:val="0032114F"/>
    <w:rsid w:val="00322283"/>
    <w:rsid w:val="003223C4"/>
    <w:rsid w:val="0032271D"/>
    <w:rsid w:val="00323401"/>
    <w:rsid w:val="0032383A"/>
    <w:rsid w:val="003240BF"/>
    <w:rsid w:val="003245C3"/>
    <w:rsid w:val="00324649"/>
    <w:rsid w:val="003246E9"/>
    <w:rsid w:val="003260AA"/>
    <w:rsid w:val="00326145"/>
    <w:rsid w:val="00326AC8"/>
    <w:rsid w:val="00326C5C"/>
    <w:rsid w:val="00326E43"/>
    <w:rsid w:val="00327B50"/>
    <w:rsid w:val="00327C39"/>
    <w:rsid w:val="00331418"/>
    <w:rsid w:val="00331765"/>
    <w:rsid w:val="003321EE"/>
    <w:rsid w:val="00333EEA"/>
    <w:rsid w:val="00334708"/>
    <w:rsid w:val="00334A7F"/>
    <w:rsid w:val="00334CCC"/>
    <w:rsid w:val="00334CDF"/>
    <w:rsid w:val="00335004"/>
    <w:rsid w:val="0033566F"/>
    <w:rsid w:val="00336E0B"/>
    <w:rsid w:val="003370B8"/>
    <w:rsid w:val="00337366"/>
    <w:rsid w:val="0033790F"/>
    <w:rsid w:val="003406F5"/>
    <w:rsid w:val="003408C9"/>
    <w:rsid w:val="00340C6D"/>
    <w:rsid w:val="00341007"/>
    <w:rsid w:val="00341C05"/>
    <w:rsid w:val="00342944"/>
    <w:rsid w:val="00342B9A"/>
    <w:rsid w:val="0034306E"/>
    <w:rsid w:val="00343F6A"/>
    <w:rsid w:val="00343F8A"/>
    <w:rsid w:val="00344364"/>
    <w:rsid w:val="00344801"/>
    <w:rsid w:val="00345849"/>
    <w:rsid w:val="00345B91"/>
    <w:rsid w:val="00346000"/>
    <w:rsid w:val="00346A3B"/>
    <w:rsid w:val="00346DDF"/>
    <w:rsid w:val="00347CD2"/>
    <w:rsid w:val="00347E52"/>
    <w:rsid w:val="003500CB"/>
    <w:rsid w:val="00350950"/>
    <w:rsid w:val="00351A25"/>
    <w:rsid w:val="0035294C"/>
    <w:rsid w:val="00352FBD"/>
    <w:rsid w:val="00353306"/>
    <w:rsid w:val="00353CDD"/>
    <w:rsid w:val="00354E3F"/>
    <w:rsid w:val="00355125"/>
    <w:rsid w:val="003554DA"/>
    <w:rsid w:val="003562CF"/>
    <w:rsid w:val="00356352"/>
    <w:rsid w:val="00356811"/>
    <w:rsid w:val="00356A5A"/>
    <w:rsid w:val="0035720F"/>
    <w:rsid w:val="003576E6"/>
    <w:rsid w:val="003577D0"/>
    <w:rsid w:val="003600C1"/>
    <w:rsid w:val="003607CE"/>
    <w:rsid w:val="00362A8F"/>
    <w:rsid w:val="00362EE9"/>
    <w:rsid w:val="0036328E"/>
    <w:rsid w:val="00363CA8"/>
    <w:rsid w:val="00364DB4"/>
    <w:rsid w:val="00365D7E"/>
    <w:rsid w:val="003661FA"/>
    <w:rsid w:val="00366591"/>
    <w:rsid w:val="0036680B"/>
    <w:rsid w:val="00366C62"/>
    <w:rsid w:val="00367808"/>
    <w:rsid w:val="00367CED"/>
    <w:rsid w:val="003702A4"/>
    <w:rsid w:val="00370BA1"/>
    <w:rsid w:val="00370BE0"/>
    <w:rsid w:val="003718D9"/>
    <w:rsid w:val="00372326"/>
    <w:rsid w:val="003727D2"/>
    <w:rsid w:val="0037316D"/>
    <w:rsid w:val="00373443"/>
    <w:rsid w:val="00373495"/>
    <w:rsid w:val="003738C1"/>
    <w:rsid w:val="0037438F"/>
    <w:rsid w:val="00374CEE"/>
    <w:rsid w:val="00377164"/>
    <w:rsid w:val="003778E3"/>
    <w:rsid w:val="003807C1"/>
    <w:rsid w:val="00380A00"/>
    <w:rsid w:val="00380E71"/>
    <w:rsid w:val="00381FC7"/>
    <w:rsid w:val="00383420"/>
    <w:rsid w:val="003844AD"/>
    <w:rsid w:val="003844CB"/>
    <w:rsid w:val="00384F48"/>
    <w:rsid w:val="00385235"/>
    <w:rsid w:val="00385A5F"/>
    <w:rsid w:val="00387360"/>
    <w:rsid w:val="00390FC8"/>
    <w:rsid w:val="00391403"/>
    <w:rsid w:val="0039171B"/>
    <w:rsid w:val="003925F1"/>
    <w:rsid w:val="003938AE"/>
    <w:rsid w:val="00394385"/>
    <w:rsid w:val="003954EE"/>
    <w:rsid w:val="00396620"/>
    <w:rsid w:val="00396DD2"/>
    <w:rsid w:val="00396E2A"/>
    <w:rsid w:val="003A0D75"/>
    <w:rsid w:val="003A105E"/>
    <w:rsid w:val="003A17DB"/>
    <w:rsid w:val="003A1BED"/>
    <w:rsid w:val="003A1D56"/>
    <w:rsid w:val="003A34CC"/>
    <w:rsid w:val="003A3960"/>
    <w:rsid w:val="003A3CF4"/>
    <w:rsid w:val="003A3FC8"/>
    <w:rsid w:val="003A43A8"/>
    <w:rsid w:val="003A4DCA"/>
    <w:rsid w:val="003A5686"/>
    <w:rsid w:val="003A7AC3"/>
    <w:rsid w:val="003B07DA"/>
    <w:rsid w:val="003B0FCA"/>
    <w:rsid w:val="003B2C19"/>
    <w:rsid w:val="003B3889"/>
    <w:rsid w:val="003B39EF"/>
    <w:rsid w:val="003B3A4D"/>
    <w:rsid w:val="003B45C1"/>
    <w:rsid w:val="003B49DE"/>
    <w:rsid w:val="003B59D6"/>
    <w:rsid w:val="003B6201"/>
    <w:rsid w:val="003B69E9"/>
    <w:rsid w:val="003C03BF"/>
    <w:rsid w:val="003C05A4"/>
    <w:rsid w:val="003C145E"/>
    <w:rsid w:val="003C2505"/>
    <w:rsid w:val="003C2982"/>
    <w:rsid w:val="003C2A12"/>
    <w:rsid w:val="003C3FC2"/>
    <w:rsid w:val="003C4B75"/>
    <w:rsid w:val="003C630C"/>
    <w:rsid w:val="003C661E"/>
    <w:rsid w:val="003D09FA"/>
    <w:rsid w:val="003D0A2E"/>
    <w:rsid w:val="003D0AB1"/>
    <w:rsid w:val="003D0B2E"/>
    <w:rsid w:val="003D11D6"/>
    <w:rsid w:val="003D29FA"/>
    <w:rsid w:val="003D3547"/>
    <w:rsid w:val="003D36A5"/>
    <w:rsid w:val="003D42A1"/>
    <w:rsid w:val="003D43A8"/>
    <w:rsid w:val="003D447B"/>
    <w:rsid w:val="003D4895"/>
    <w:rsid w:val="003D51F2"/>
    <w:rsid w:val="003D554C"/>
    <w:rsid w:val="003D555D"/>
    <w:rsid w:val="003D571A"/>
    <w:rsid w:val="003D6818"/>
    <w:rsid w:val="003D69A4"/>
    <w:rsid w:val="003D7097"/>
    <w:rsid w:val="003D7433"/>
    <w:rsid w:val="003D7C20"/>
    <w:rsid w:val="003E15C9"/>
    <w:rsid w:val="003E18B3"/>
    <w:rsid w:val="003E2340"/>
    <w:rsid w:val="003E373D"/>
    <w:rsid w:val="003E39FE"/>
    <w:rsid w:val="003E508E"/>
    <w:rsid w:val="003E5155"/>
    <w:rsid w:val="003E58D7"/>
    <w:rsid w:val="003E59F7"/>
    <w:rsid w:val="003E6548"/>
    <w:rsid w:val="003E713A"/>
    <w:rsid w:val="003F0490"/>
    <w:rsid w:val="003F05B9"/>
    <w:rsid w:val="003F0A46"/>
    <w:rsid w:val="003F193F"/>
    <w:rsid w:val="003F1DC4"/>
    <w:rsid w:val="003F1DDA"/>
    <w:rsid w:val="003F1E74"/>
    <w:rsid w:val="003F2158"/>
    <w:rsid w:val="003F28A8"/>
    <w:rsid w:val="003F29D6"/>
    <w:rsid w:val="003F2A47"/>
    <w:rsid w:val="003F2EBD"/>
    <w:rsid w:val="003F3414"/>
    <w:rsid w:val="003F39BC"/>
    <w:rsid w:val="003F5906"/>
    <w:rsid w:val="003F6767"/>
    <w:rsid w:val="003F7E39"/>
    <w:rsid w:val="00400BF9"/>
    <w:rsid w:val="004013B9"/>
    <w:rsid w:val="0040143F"/>
    <w:rsid w:val="0040160F"/>
    <w:rsid w:val="00401D09"/>
    <w:rsid w:val="00403090"/>
    <w:rsid w:val="00404754"/>
    <w:rsid w:val="0040488A"/>
    <w:rsid w:val="004054EB"/>
    <w:rsid w:val="00405FA0"/>
    <w:rsid w:val="004071C5"/>
    <w:rsid w:val="0040780D"/>
    <w:rsid w:val="00407B0E"/>
    <w:rsid w:val="004107C0"/>
    <w:rsid w:val="00410C64"/>
    <w:rsid w:val="004117A0"/>
    <w:rsid w:val="00411D71"/>
    <w:rsid w:val="00412901"/>
    <w:rsid w:val="00413001"/>
    <w:rsid w:val="00413382"/>
    <w:rsid w:val="004139FB"/>
    <w:rsid w:val="004143AC"/>
    <w:rsid w:val="00414490"/>
    <w:rsid w:val="004147C0"/>
    <w:rsid w:val="0041506A"/>
    <w:rsid w:val="0041580B"/>
    <w:rsid w:val="00416AE8"/>
    <w:rsid w:val="00420A4E"/>
    <w:rsid w:val="00420BAA"/>
    <w:rsid w:val="00420D7B"/>
    <w:rsid w:val="00422032"/>
    <w:rsid w:val="004249AC"/>
    <w:rsid w:val="004253C0"/>
    <w:rsid w:val="00426333"/>
    <w:rsid w:val="00426D93"/>
    <w:rsid w:val="00427D4C"/>
    <w:rsid w:val="00430237"/>
    <w:rsid w:val="00430CBE"/>
    <w:rsid w:val="004314B1"/>
    <w:rsid w:val="004322EA"/>
    <w:rsid w:val="004338D1"/>
    <w:rsid w:val="00433B1F"/>
    <w:rsid w:val="00434006"/>
    <w:rsid w:val="0043480E"/>
    <w:rsid w:val="00434903"/>
    <w:rsid w:val="004349F0"/>
    <w:rsid w:val="004358C6"/>
    <w:rsid w:val="00435993"/>
    <w:rsid w:val="00436340"/>
    <w:rsid w:val="00437E3B"/>
    <w:rsid w:val="0044085D"/>
    <w:rsid w:val="00442004"/>
    <w:rsid w:val="004422B2"/>
    <w:rsid w:val="004426A5"/>
    <w:rsid w:val="00442FDE"/>
    <w:rsid w:val="0044337F"/>
    <w:rsid w:val="00443944"/>
    <w:rsid w:val="00443E08"/>
    <w:rsid w:val="00444EDF"/>
    <w:rsid w:val="00444F43"/>
    <w:rsid w:val="00445A39"/>
    <w:rsid w:val="0044757C"/>
    <w:rsid w:val="00447E67"/>
    <w:rsid w:val="004501AD"/>
    <w:rsid w:val="00450214"/>
    <w:rsid w:val="004502C4"/>
    <w:rsid w:val="004506F4"/>
    <w:rsid w:val="0045087B"/>
    <w:rsid w:val="0045092D"/>
    <w:rsid w:val="00451281"/>
    <w:rsid w:val="00453447"/>
    <w:rsid w:val="00453DA7"/>
    <w:rsid w:val="004548B6"/>
    <w:rsid w:val="0045617F"/>
    <w:rsid w:val="004570A7"/>
    <w:rsid w:val="00457539"/>
    <w:rsid w:val="00457A83"/>
    <w:rsid w:val="00457ED3"/>
    <w:rsid w:val="00461F18"/>
    <w:rsid w:val="00462455"/>
    <w:rsid w:val="004629B7"/>
    <w:rsid w:val="00462D0F"/>
    <w:rsid w:val="00463746"/>
    <w:rsid w:val="004638A5"/>
    <w:rsid w:val="00463944"/>
    <w:rsid w:val="00463F96"/>
    <w:rsid w:val="00466AAD"/>
    <w:rsid w:val="004701C2"/>
    <w:rsid w:val="00470584"/>
    <w:rsid w:val="00470C1A"/>
    <w:rsid w:val="00470CB0"/>
    <w:rsid w:val="00471D2E"/>
    <w:rsid w:val="00471D30"/>
    <w:rsid w:val="0047222F"/>
    <w:rsid w:val="00472E7D"/>
    <w:rsid w:val="00472F6B"/>
    <w:rsid w:val="00473BA1"/>
    <w:rsid w:val="00474061"/>
    <w:rsid w:val="004744D8"/>
    <w:rsid w:val="00475692"/>
    <w:rsid w:val="004758D7"/>
    <w:rsid w:val="00476C30"/>
    <w:rsid w:val="00476FC2"/>
    <w:rsid w:val="004771DB"/>
    <w:rsid w:val="0047740B"/>
    <w:rsid w:val="00477A48"/>
    <w:rsid w:val="00477C1E"/>
    <w:rsid w:val="00480A79"/>
    <w:rsid w:val="00481756"/>
    <w:rsid w:val="00482E84"/>
    <w:rsid w:val="0048379F"/>
    <w:rsid w:val="00483FA0"/>
    <w:rsid w:val="004854F8"/>
    <w:rsid w:val="00485F37"/>
    <w:rsid w:val="00485F7A"/>
    <w:rsid w:val="004864DA"/>
    <w:rsid w:val="00487430"/>
    <w:rsid w:val="004877DA"/>
    <w:rsid w:val="00487BFE"/>
    <w:rsid w:val="004903DE"/>
    <w:rsid w:val="004918E0"/>
    <w:rsid w:val="00491A04"/>
    <w:rsid w:val="00491A62"/>
    <w:rsid w:val="00492E58"/>
    <w:rsid w:val="0049339B"/>
    <w:rsid w:val="00494236"/>
    <w:rsid w:val="0049428E"/>
    <w:rsid w:val="0049451B"/>
    <w:rsid w:val="004951EA"/>
    <w:rsid w:val="004954A6"/>
    <w:rsid w:val="004962DC"/>
    <w:rsid w:val="004964AD"/>
    <w:rsid w:val="004969CC"/>
    <w:rsid w:val="00496B3F"/>
    <w:rsid w:val="00496B8E"/>
    <w:rsid w:val="00496BEA"/>
    <w:rsid w:val="00496BF9"/>
    <w:rsid w:val="00496FD9"/>
    <w:rsid w:val="00497444"/>
    <w:rsid w:val="00497F97"/>
    <w:rsid w:val="004A007C"/>
    <w:rsid w:val="004A008A"/>
    <w:rsid w:val="004A084D"/>
    <w:rsid w:val="004A146C"/>
    <w:rsid w:val="004A17EE"/>
    <w:rsid w:val="004A1D8E"/>
    <w:rsid w:val="004A2238"/>
    <w:rsid w:val="004A276C"/>
    <w:rsid w:val="004A3181"/>
    <w:rsid w:val="004A4B04"/>
    <w:rsid w:val="004A4D93"/>
    <w:rsid w:val="004A50A7"/>
    <w:rsid w:val="004A5D7E"/>
    <w:rsid w:val="004A6018"/>
    <w:rsid w:val="004A7961"/>
    <w:rsid w:val="004A7A31"/>
    <w:rsid w:val="004B05E7"/>
    <w:rsid w:val="004B070E"/>
    <w:rsid w:val="004B0DF0"/>
    <w:rsid w:val="004B16B0"/>
    <w:rsid w:val="004B1E9B"/>
    <w:rsid w:val="004B235E"/>
    <w:rsid w:val="004B3DB9"/>
    <w:rsid w:val="004B49AE"/>
    <w:rsid w:val="004B4B95"/>
    <w:rsid w:val="004B5048"/>
    <w:rsid w:val="004B5BAD"/>
    <w:rsid w:val="004B73C0"/>
    <w:rsid w:val="004B7686"/>
    <w:rsid w:val="004B7975"/>
    <w:rsid w:val="004B797D"/>
    <w:rsid w:val="004C03BD"/>
    <w:rsid w:val="004C0719"/>
    <w:rsid w:val="004C1D65"/>
    <w:rsid w:val="004C35B7"/>
    <w:rsid w:val="004C5075"/>
    <w:rsid w:val="004C5187"/>
    <w:rsid w:val="004C5650"/>
    <w:rsid w:val="004C64D8"/>
    <w:rsid w:val="004C68A9"/>
    <w:rsid w:val="004C6DBC"/>
    <w:rsid w:val="004C74D0"/>
    <w:rsid w:val="004C75E3"/>
    <w:rsid w:val="004D06F8"/>
    <w:rsid w:val="004D2134"/>
    <w:rsid w:val="004D2747"/>
    <w:rsid w:val="004D4770"/>
    <w:rsid w:val="004D4A45"/>
    <w:rsid w:val="004D4ACE"/>
    <w:rsid w:val="004D5FB7"/>
    <w:rsid w:val="004D6156"/>
    <w:rsid w:val="004D6817"/>
    <w:rsid w:val="004D6AC3"/>
    <w:rsid w:val="004E1C6A"/>
    <w:rsid w:val="004E3E06"/>
    <w:rsid w:val="004E4D28"/>
    <w:rsid w:val="004E5E1A"/>
    <w:rsid w:val="004E64AC"/>
    <w:rsid w:val="004E705C"/>
    <w:rsid w:val="004F07B7"/>
    <w:rsid w:val="004F0E76"/>
    <w:rsid w:val="004F1506"/>
    <w:rsid w:val="004F1624"/>
    <w:rsid w:val="004F2DBF"/>
    <w:rsid w:val="004F3EE1"/>
    <w:rsid w:val="004F51BE"/>
    <w:rsid w:val="004F52C7"/>
    <w:rsid w:val="004F55B7"/>
    <w:rsid w:val="004F5623"/>
    <w:rsid w:val="004F634D"/>
    <w:rsid w:val="004F70A2"/>
    <w:rsid w:val="004F7996"/>
    <w:rsid w:val="0050098E"/>
    <w:rsid w:val="005009C7"/>
    <w:rsid w:val="00501C5B"/>
    <w:rsid w:val="00503F01"/>
    <w:rsid w:val="005053E6"/>
    <w:rsid w:val="00505CAC"/>
    <w:rsid w:val="005064F4"/>
    <w:rsid w:val="00507DEE"/>
    <w:rsid w:val="005100F8"/>
    <w:rsid w:val="005111C4"/>
    <w:rsid w:val="005113BC"/>
    <w:rsid w:val="00512878"/>
    <w:rsid w:val="005129D6"/>
    <w:rsid w:val="00513351"/>
    <w:rsid w:val="0051340D"/>
    <w:rsid w:val="00513479"/>
    <w:rsid w:val="00513C3A"/>
    <w:rsid w:val="0051438B"/>
    <w:rsid w:val="005154F4"/>
    <w:rsid w:val="005158BE"/>
    <w:rsid w:val="005159E8"/>
    <w:rsid w:val="00515F1D"/>
    <w:rsid w:val="005161D6"/>
    <w:rsid w:val="0051643D"/>
    <w:rsid w:val="00516EC6"/>
    <w:rsid w:val="00517BDC"/>
    <w:rsid w:val="00520D03"/>
    <w:rsid w:val="005214F7"/>
    <w:rsid w:val="00522562"/>
    <w:rsid w:val="005233B6"/>
    <w:rsid w:val="005234C1"/>
    <w:rsid w:val="005237EA"/>
    <w:rsid w:val="00523D14"/>
    <w:rsid w:val="005240CC"/>
    <w:rsid w:val="0052432F"/>
    <w:rsid w:val="00526BE0"/>
    <w:rsid w:val="00526DAD"/>
    <w:rsid w:val="005272B6"/>
    <w:rsid w:val="00527595"/>
    <w:rsid w:val="00530278"/>
    <w:rsid w:val="005319A3"/>
    <w:rsid w:val="005329E8"/>
    <w:rsid w:val="0053318E"/>
    <w:rsid w:val="0053428D"/>
    <w:rsid w:val="00534FC0"/>
    <w:rsid w:val="00535F6F"/>
    <w:rsid w:val="005362A2"/>
    <w:rsid w:val="00536521"/>
    <w:rsid w:val="005402BB"/>
    <w:rsid w:val="00540370"/>
    <w:rsid w:val="00541C29"/>
    <w:rsid w:val="005425BF"/>
    <w:rsid w:val="00542761"/>
    <w:rsid w:val="00542B05"/>
    <w:rsid w:val="00544143"/>
    <w:rsid w:val="00545D7D"/>
    <w:rsid w:val="00545E62"/>
    <w:rsid w:val="00546C3B"/>
    <w:rsid w:val="005504C5"/>
    <w:rsid w:val="0055137C"/>
    <w:rsid w:val="005520E4"/>
    <w:rsid w:val="00552395"/>
    <w:rsid w:val="005527D8"/>
    <w:rsid w:val="005549DE"/>
    <w:rsid w:val="0055531D"/>
    <w:rsid w:val="005556D1"/>
    <w:rsid w:val="005557B7"/>
    <w:rsid w:val="00556520"/>
    <w:rsid w:val="00556C9F"/>
    <w:rsid w:val="0055732F"/>
    <w:rsid w:val="0056039A"/>
    <w:rsid w:val="00560FFC"/>
    <w:rsid w:val="0056144C"/>
    <w:rsid w:val="00561F9F"/>
    <w:rsid w:val="00562BDA"/>
    <w:rsid w:val="005633AF"/>
    <w:rsid w:val="00563C27"/>
    <w:rsid w:val="00563D87"/>
    <w:rsid w:val="005650EF"/>
    <w:rsid w:val="005658C3"/>
    <w:rsid w:val="00565A21"/>
    <w:rsid w:val="005677C3"/>
    <w:rsid w:val="005677FE"/>
    <w:rsid w:val="00567862"/>
    <w:rsid w:val="005706C3"/>
    <w:rsid w:val="00570738"/>
    <w:rsid w:val="00570C3A"/>
    <w:rsid w:val="00572AE2"/>
    <w:rsid w:val="0057303C"/>
    <w:rsid w:val="00574311"/>
    <w:rsid w:val="005750F8"/>
    <w:rsid w:val="00575FDD"/>
    <w:rsid w:val="0058060D"/>
    <w:rsid w:val="005810DA"/>
    <w:rsid w:val="005815F3"/>
    <w:rsid w:val="005820FB"/>
    <w:rsid w:val="005829D7"/>
    <w:rsid w:val="00582DF1"/>
    <w:rsid w:val="00582EF9"/>
    <w:rsid w:val="0058308F"/>
    <w:rsid w:val="005838A4"/>
    <w:rsid w:val="005840FE"/>
    <w:rsid w:val="005846C4"/>
    <w:rsid w:val="00584C42"/>
    <w:rsid w:val="00586552"/>
    <w:rsid w:val="005869B6"/>
    <w:rsid w:val="00587754"/>
    <w:rsid w:val="005879AF"/>
    <w:rsid w:val="005904E4"/>
    <w:rsid w:val="00590666"/>
    <w:rsid w:val="00590F3D"/>
    <w:rsid w:val="00591D6C"/>
    <w:rsid w:val="00591F61"/>
    <w:rsid w:val="005923C4"/>
    <w:rsid w:val="005932C0"/>
    <w:rsid w:val="00593A3C"/>
    <w:rsid w:val="00593D46"/>
    <w:rsid w:val="00593F52"/>
    <w:rsid w:val="0059497F"/>
    <w:rsid w:val="00594C12"/>
    <w:rsid w:val="005953FF"/>
    <w:rsid w:val="00596172"/>
    <w:rsid w:val="005976B5"/>
    <w:rsid w:val="005A1794"/>
    <w:rsid w:val="005A181B"/>
    <w:rsid w:val="005A1ACD"/>
    <w:rsid w:val="005A1DC9"/>
    <w:rsid w:val="005A2DE8"/>
    <w:rsid w:val="005A35D5"/>
    <w:rsid w:val="005A4366"/>
    <w:rsid w:val="005A51A8"/>
    <w:rsid w:val="005A5498"/>
    <w:rsid w:val="005A5CAD"/>
    <w:rsid w:val="005A770E"/>
    <w:rsid w:val="005A7A4E"/>
    <w:rsid w:val="005A7A6B"/>
    <w:rsid w:val="005B09E3"/>
    <w:rsid w:val="005B0A1A"/>
    <w:rsid w:val="005B18AB"/>
    <w:rsid w:val="005B35FC"/>
    <w:rsid w:val="005B445B"/>
    <w:rsid w:val="005B58D2"/>
    <w:rsid w:val="005B7803"/>
    <w:rsid w:val="005B7B83"/>
    <w:rsid w:val="005C03C2"/>
    <w:rsid w:val="005C0924"/>
    <w:rsid w:val="005C1896"/>
    <w:rsid w:val="005C1FB2"/>
    <w:rsid w:val="005C25B7"/>
    <w:rsid w:val="005C262D"/>
    <w:rsid w:val="005C2CFF"/>
    <w:rsid w:val="005C3D00"/>
    <w:rsid w:val="005C46A1"/>
    <w:rsid w:val="005C47C6"/>
    <w:rsid w:val="005C52CC"/>
    <w:rsid w:val="005C5463"/>
    <w:rsid w:val="005C581D"/>
    <w:rsid w:val="005C5875"/>
    <w:rsid w:val="005C62C9"/>
    <w:rsid w:val="005C6452"/>
    <w:rsid w:val="005C67EE"/>
    <w:rsid w:val="005C683A"/>
    <w:rsid w:val="005C6F63"/>
    <w:rsid w:val="005D05DE"/>
    <w:rsid w:val="005D172B"/>
    <w:rsid w:val="005D17AA"/>
    <w:rsid w:val="005D1926"/>
    <w:rsid w:val="005D1C84"/>
    <w:rsid w:val="005D1CDF"/>
    <w:rsid w:val="005D1EB3"/>
    <w:rsid w:val="005D26E9"/>
    <w:rsid w:val="005D29CE"/>
    <w:rsid w:val="005D2B63"/>
    <w:rsid w:val="005D3AD2"/>
    <w:rsid w:val="005D430B"/>
    <w:rsid w:val="005D57BC"/>
    <w:rsid w:val="005D61BE"/>
    <w:rsid w:val="005D67DC"/>
    <w:rsid w:val="005D6920"/>
    <w:rsid w:val="005D6BC0"/>
    <w:rsid w:val="005D72E2"/>
    <w:rsid w:val="005D7614"/>
    <w:rsid w:val="005D78D2"/>
    <w:rsid w:val="005D7DBC"/>
    <w:rsid w:val="005E1880"/>
    <w:rsid w:val="005E1E63"/>
    <w:rsid w:val="005E2AB6"/>
    <w:rsid w:val="005E3630"/>
    <w:rsid w:val="005E3757"/>
    <w:rsid w:val="005E3A81"/>
    <w:rsid w:val="005E418F"/>
    <w:rsid w:val="005E433C"/>
    <w:rsid w:val="005E4BC3"/>
    <w:rsid w:val="005F01A1"/>
    <w:rsid w:val="005F04CB"/>
    <w:rsid w:val="005F28F4"/>
    <w:rsid w:val="005F342D"/>
    <w:rsid w:val="005F401C"/>
    <w:rsid w:val="005F41DF"/>
    <w:rsid w:val="005F43BD"/>
    <w:rsid w:val="005F4976"/>
    <w:rsid w:val="005F4EC7"/>
    <w:rsid w:val="005F54FB"/>
    <w:rsid w:val="005F58CF"/>
    <w:rsid w:val="005F67E8"/>
    <w:rsid w:val="005F6912"/>
    <w:rsid w:val="005F6A44"/>
    <w:rsid w:val="005F6C1C"/>
    <w:rsid w:val="005F6DB1"/>
    <w:rsid w:val="00600892"/>
    <w:rsid w:val="00600B4E"/>
    <w:rsid w:val="00600DB5"/>
    <w:rsid w:val="00601799"/>
    <w:rsid w:val="0060300E"/>
    <w:rsid w:val="006049FB"/>
    <w:rsid w:val="00604A8C"/>
    <w:rsid w:val="00606E89"/>
    <w:rsid w:val="0060741C"/>
    <w:rsid w:val="00607F91"/>
    <w:rsid w:val="0061042E"/>
    <w:rsid w:val="006115B8"/>
    <w:rsid w:val="00611867"/>
    <w:rsid w:val="00612DCF"/>
    <w:rsid w:val="0061309D"/>
    <w:rsid w:val="00613599"/>
    <w:rsid w:val="00613C15"/>
    <w:rsid w:val="006141A6"/>
    <w:rsid w:val="00614237"/>
    <w:rsid w:val="006145F4"/>
    <w:rsid w:val="00614EE4"/>
    <w:rsid w:val="00616E71"/>
    <w:rsid w:val="00616FCD"/>
    <w:rsid w:val="00617E9C"/>
    <w:rsid w:val="00620DB2"/>
    <w:rsid w:val="00621096"/>
    <w:rsid w:val="0062143C"/>
    <w:rsid w:val="00621639"/>
    <w:rsid w:val="006216E2"/>
    <w:rsid w:val="0062241B"/>
    <w:rsid w:val="00624D9F"/>
    <w:rsid w:val="00625118"/>
    <w:rsid w:val="006251C1"/>
    <w:rsid w:val="00625B89"/>
    <w:rsid w:val="00626F48"/>
    <w:rsid w:val="0062746E"/>
    <w:rsid w:val="0062775E"/>
    <w:rsid w:val="00627836"/>
    <w:rsid w:val="006305C3"/>
    <w:rsid w:val="00630802"/>
    <w:rsid w:val="006309D7"/>
    <w:rsid w:val="00631CF1"/>
    <w:rsid w:val="006324D7"/>
    <w:rsid w:val="006332E8"/>
    <w:rsid w:val="006333B7"/>
    <w:rsid w:val="0063363A"/>
    <w:rsid w:val="00633A0C"/>
    <w:rsid w:val="00633F76"/>
    <w:rsid w:val="00634884"/>
    <w:rsid w:val="00635C4C"/>
    <w:rsid w:val="00635D76"/>
    <w:rsid w:val="00635FF6"/>
    <w:rsid w:val="0063650E"/>
    <w:rsid w:val="006367C2"/>
    <w:rsid w:val="0063751E"/>
    <w:rsid w:val="00637F05"/>
    <w:rsid w:val="006404D0"/>
    <w:rsid w:val="00640913"/>
    <w:rsid w:val="00640F51"/>
    <w:rsid w:val="006415B1"/>
    <w:rsid w:val="00641D03"/>
    <w:rsid w:val="00641ED8"/>
    <w:rsid w:val="00642A68"/>
    <w:rsid w:val="00642E19"/>
    <w:rsid w:val="00643A6F"/>
    <w:rsid w:val="006440BB"/>
    <w:rsid w:val="00644758"/>
    <w:rsid w:val="0064575D"/>
    <w:rsid w:val="00645916"/>
    <w:rsid w:val="00645ADB"/>
    <w:rsid w:val="00646010"/>
    <w:rsid w:val="00646145"/>
    <w:rsid w:val="0064722B"/>
    <w:rsid w:val="006476EC"/>
    <w:rsid w:val="00647716"/>
    <w:rsid w:val="00650468"/>
    <w:rsid w:val="00651164"/>
    <w:rsid w:val="00651EB7"/>
    <w:rsid w:val="006524D5"/>
    <w:rsid w:val="006528A6"/>
    <w:rsid w:val="00653004"/>
    <w:rsid w:val="006533EE"/>
    <w:rsid w:val="00653FD4"/>
    <w:rsid w:val="006546E3"/>
    <w:rsid w:val="006550B2"/>
    <w:rsid w:val="0065569C"/>
    <w:rsid w:val="00655D90"/>
    <w:rsid w:val="006574E2"/>
    <w:rsid w:val="00657E8E"/>
    <w:rsid w:val="006601F1"/>
    <w:rsid w:val="00662B32"/>
    <w:rsid w:val="00662BBE"/>
    <w:rsid w:val="00663DCD"/>
    <w:rsid w:val="00663ED5"/>
    <w:rsid w:val="0066426F"/>
    <w:rsid w:val="00665758"/>
    <w:rsid w:val="00665D98"/>
    <w:rsid w:val="00665DFB"/>
    <w:rsid w:val="006661D8"/>
    <w:rsid w:val="0067029B"/>
    <w:rsid w:val="006706E2"/>
    <w:rsid w:val="00670C2C"/>
    <w:rsid w:val="00672BD8"/>
    <w:rsid w:val="00672C00"/>
    <w:rsid w:val="00675D1D"/>
    <w:rsid w:val="006760D5"/>
    <w:rsid w:val="0067622C"/>
    <w:rsid w:val="006763AD"/>
    <w:rsid w:val="00676E0A"/>
    <w:rsid w:val="006774B3"/>
    <w:rsid w:val="0067781D"/>
    <w:rsid w:val="00677CCB"/>
    <w:rsid w:val="006816C4"/>
    <w:rsid w:val="00681A4C"/>
    <w:rsid w:val="00681E16"/>
    <w:rsid w:val="00681EC9"/>
    <w:rsid w:val="00682CC9"/>
    <w:rsid w:val="0068331A"/>
    <w:rsid w:val="006842B2"/>
    <w:rsid w:val="00685926"/>
    <w:rsid w:val="00686FF8"/>
    <w:rsid w:val="00687834"/>
    <w:rsid w:val="006878E0"/>
    <w:rsid w:val="00687DC4"/>
    <w:rsid w:val="00687F5D"/>
    <w:rsid w:val="00690ED2"/>
    <w:rsid w:val="0069296B"/>
    <w:rsid w:val="00694CDA"/>
    <w:rsid w:val="0069504D"/>
    <w:rsid w:val="0069508D"/>
    <w:rsid w:val="0069577D"/>
    <w:rsid w:val="0069662B"/>
    <w:rsid w:val="00696CCC"/>
    <w:rsid w:val="0069729F"/>
    <w:rsid w:val="006A0CBA"/>
    <w:rsid w:val="006A189C"/>
    <w:rsid w:val="006A1B3B"/>
    <w:rsid w:val="006A2A24"/>
    <w:rsid w:val="006A4041"/>
    <w:rsid w:val="006A4B32"/>
    <w:rsid w:val="006A50CB"/>
    <w:rsid w:val="006A724D"/>
    <w:rsid w:val="006A7FDF"/>
    <w:rsid w:val="006B0678"/>
    <w:rsid w:val="006B1054"/>
    <w:rsid w:val="006B1CAA"/>
    <w:rsid w:val="006B2054"/>
    <w:rsid w:val="006B3770"/>
    <w:rsid w:val="006B4B8E"/>
    <w:rsid w:val="006B53CC"/>
    <w:rsid w:val="006B5E18"/>
    <w:rsid w:val="006B7D00"/>
    <w:rsid w:val="006B7DFB"/>
    <w:rsid w:val="006C14F4"/>
    <w:rsid w:val="006C283C"/>
    <w:rsid w:val="006C2ACE"/>
    <w:rsid w:val="006C3EA9"/>
    <w:rsid w:val="006C545E"/>
    <w:rsid w:val="006C5642"/>
    <w:rsid w:val="006C5C09"/>
    <w:rsid w:val="006C6512"/>
    <w:rsid w:val="006C6AEB"/>
    <w:rsid w:val="006D023F"/>
    <w:rsid w:val="006D1369"/>
    <w:rsid w:val="006D3222"/>
    <w:rsid w:val="006D38E6"/>
    <w:rsid w:val="006D3E54"/>
    <w:rsid w:val="006D4412"/>
    <w:rsid w:val="006D533D"/>
    <w:rsid w:val="006D5388"/>
    <w:rsid w:val="006D54BF"/>
    <w:rsid w:val="006D56C7"/>
    <w:rsid w:val="006D592A"/>
    <w:rsid w:val="006D6416"/>
    <w:rsid w:val="006D66B0"/>
    <w:rsid w:val="006D678E"/>
    <w:rsid w:val="006D7571"/>
    <w:rsid w:val="006E3202"/>
    <w:rsid w:val="006E33A2"/>
    <w:rsid w:val="006E3C87"/>
    <w:rsid w:val="006E4DEF"/>
    <w:rsid w:val="006E50C9"/>
    <w:rsid w:val="006E5745"/>
    <w:rsid w:val="006E5842"/>
    <w:rsid w:val="006E64CB"/>
    <w:rsid w:val="006E6CDD"/>
    <w:rsid w:val="006E7045"/>
    <w:rsid w:val="006E715B"/>
    <w:rsid w:val="006E754D"/>
    <w:rsid w:val="006E7DF1"/>
    <w:rsid w:val="006F0204"/>
    <w:rsid w:val="006F1C2F"/>
    <w:rsid w:val="006F2C4E"/>
    <w:rsid w:val="006F3205"/>
    <w:rsid w:val="006F32C9"/>
    <w:rsid w:val="006F3917"/>
    <w:rsid w:val="006F4133"/>
    <w:rsid w:val="006F5014"/>
    <w:rsid w:val="006F56C7"/>
    <w:rsid w:val="006F5A50"/>
    <w:rsid w:val="006F5DF1"/>
    <w:rsid w:val="006F62E3"/>
    <w:rsid w:val="006F67B4"/>
    <w:rsid w:val="00700247"/>
    <w:rsid w:val="00700B2F"/>
    <w:rsid w:val="00701E04"/>
    <w:rsid w:val="00702019"/>
    <w:rsid w:val="007023F0"/>
    <w:rsid w:val="00702676"/>
    <w:rsid w:val="00702E0F"/>
    <w:rsid w:val="00702E47"/>
    <w:rsid w:val="00704859"/>
    <w:rsid w:val="007066A0"/>
    <w:rsid w:val="007069C9"/>
    <w:rsid w:val="00707541"/>
    <w:rsid w:val="0070772A"/>
    <w:rsid w:val="0070786C"/>
    <w:rsid w:val="007100C2"/>
    <w:rsid w:val="007109B4"/>
    <w:rsid w:val="00710B89"/>
    <w:rsid w:val="00711195"/>
    <w:rsid w:val="0071178A"/>
    <w:rsid w:val="00712544"/>
    <w:rsid w:val="007149B7"/>
    <w:rsid w:val="00715E89"/>
    <w:rsid w:val="007207BF"/>
    <w:rsid w:val="00720851"/>
    <w:rsid w:val="00720A1E"/>
    <w:rsid w:val="00721400"/>
    <w:rsid w:val="0072198C"/>
    <w:rsid w:val="007222F1"/>
    <w:rsid w:val="00723508"/>
    <w:rsid w:val="00723B85"/>
    <w:rsid w:val="00724995"/>
    <w:rsid w:val="00724ADE"/>
    <w:rsid w:val="00724CB6"/>
    <w:rsid w:val="00724DEC"/>
    <w:rsid w:val="00724EAB"/>
    <w:rsid w:val="0072598A"/>
    <w:rsid w:val="00725D1B"/>
    <w:rsid w:val="00725F97"/>
    <w:rsid w:val="00726A06"/>
    <w:rsid w:val="00726C25"/>
    <w:rsid w:val="00727EE8"/>
    <w:rsid w:val="00730242"/>
    <w:rsid w:val="00730D69"/>
    <w:rsid w:val="0073439E"/>
    <w:rsid w:val="007343F9"/>
    <w:rsid w:val="00734AA5"/>
    <w:rsid w:val="00734C0A"/>
    <w:rsid w:val="00735AB0"/>
    <w:rsid w:val="00736E4C"/>
    <w:rsid w:val="007405D4"/>
    <w:rsid w:val="00741A9D"/>
    <w:rsid w:val="00741BBF"/>
    <w:rsid w:val="00741CE1"/>
    <w:rsid w:val="007424E3"/>
    <w:rsid w:val="00743982"/>
    <w:rsid w:val="00743ACB"/>
    <w:rsid w:val="00745F25"/>
    <w:rsid w:val="00745F89"/>
    <w:rsid w:val="00746EC2"/>
    <w:rsid w:val="00746F1C"/>
    <w:rsid w:val="00747407"/>
    <w:rsid w:val="00747973"/>
    <w:rsid w:val="00750390"/>
    <w:rsid w:val="00750554"/>
    <w:rsid w:val="007509E3"/>
    <w:rsid w:val="00750E3E"/>
    <w:rsid w:val="00751AAD"/>
    <w:rsid w:val="00751DE7"/>
    <w:rsid w:val="00752E5F"/>
    <w:rsid w:val="0075399D"/>
    <w:rsid w:val="00753BF0"/>
    <w:rsid w:val="00754164"/>
    <w:rsid w:val="00754309"/>
    <w:rsid w:val="007545F6"/>
    <w:rsid w:val="007552F2"/>
    <w:rsid w:val="007559FA"/>
    <w:rsid w:val="00755B40"/>
    <w:rsid w:val="00755F1C"/>
    <w:rsid w:val="00755F27"/>
    <w:rsid w:val="0075660A"/>
    <w:rsid w:val="00756772"/>
    <w:rsid w:val="00757199"/>
    <w:rsid w:val="0075752C"/>
    <w:rsid w:val="00757866"/>
    <w:rsid w:val="00757A01"/>
    <w:rsid w:val="0076034F"/>
    <w:rsid w:val="00760FF7"/>
    <w:rsid w:val="00761140"/>
    <w:rsid w:val="00761511"/>
    <w:rsid w:val="00761B2A"/>
    <w:rsid w:val="00761C4D"/>
    <w:rsid w:val="00763083"/>
    <w:rsid w:val="00763147"/>
    <w:rsid w:val="007636C5"/>
    <w:rsid w:val="0076450D"/>
    <w:rsid w:val="0076641A"/>
    <w:rsid w:val="007700DF"/>
    <w:rsid w:val="0077010D"/>
    <w:rsid w:val="0077030E"/>
    <w:rsid w:val="00770CA8"/>
    <w:rsid w:val="0077197B"/>
    <w:rsid w:val="00772955"/>
    <w:rsid w:val="00772B91"/>
    <w:rsid w:val="007731E7"/>
    <w:rsid w:val="00774F3B"/>
    <w:rsid w:val="00775C5B"/>
    <w:rsid w:val="00775EC4"/>
    <w:rsid w:val="007765AA"/>
    <w:rsid w:val="00776ACB"/>
    <w:rsid w:val="00781D03"/>
    <w:rsid w:val="00782844"/>
    <w:rsid w:val="00783D4F"/>
    <w:rsid w:val="00784474"/>
    <w:rsid w:val="00784866"/>
    <w:rsid w:val="00790D3B"/>
    <w:rsid w:val="00790F80"/>
    <w:rsid w:val="00792673"/>
    <w:rsid w:val="00792AF5"/>
    <w:rsid w:val="00792DFC"/>
    <w:rsid w:val="00793EAE"/>
    <w:rsid w:val="00794A8D"/>
    <w:rsid w:val="00795051"/>
    <w:rsid w:val="00795F1C"/>
    <w:rsid w:val="00796150"/>
    <w:rsid w:val="00797188"/>
    <w:rsid w:val="00797EC1"/>
    <w:rsid w:val="00797FF2"/>
    <w:rsid w:val="007A0286"/>
    <w:rsid w:val="007A0C16"/>
    <w:rsid w:val="007A0F8B"/>
    <w:rsid w:val="007A1353"/>
    <w:rsid w:val="007A187F"/>
    <w:rsid w:val="007A2629"/>
    <w:rsid w:val="007A2A62"/>
    <w:rsid w:val="007A3ADA"/>
    <w:rsid w:val="007A40EF"/>
    <w:rsid w:val="007A43FC"/>
    <w:rsid w:val="007A4432"/>
    <w:rsid w:val="007A4CA3"/>
    <w:rsid w:val="007A696B"/>
    <w:rsid w:val="007A74AD"/>
    <w:rsid w:val="007B01BC"/>
    <w:rsid w:val="007B0469"/>
    <w:rsid w:val="007B090D"/>
    <w:rsid w:val="007B0A9E"/>
    <w:rsid w:val="007B1FAF"/>
    <w:rsid w:val="007B2386"/>
    <w:rsid w:val="007B27FE"/>
    <w:rsid w:val="007B2C6A"/>
    <w:rsid w:val="007B3C62"/>
    <w:rsid w:val="007B3D49"/>
    <w:rsid w:val="007B420C"/>
    <w:rsid w:val="007B47E4"/>
    <w:rsid w:val="007B4806"/>
    <w:rsid w:val="007B513E"/>
    <w:rsid w:val="007B6ED3"/>
    <w:rsid w:val="007B7007"/>
    <w:rsid w:val="007B701D"/>
    <w:rsid w:val="007C0BA6"/>
    <w:rsid w:val="007C3C25"/>
    <w:rsid w:val="007C3D22"/>
    <w:rsid w:val="007C3DAD"/>
    <w:rsid w:val="007C4DCF"/>
    <w:rsid w:val="007C4E05"/>
    <w:rsid w:val="007C5733"/>
    <w:rsid w:val="007C5FB9"/>
    <w:rsid w:val="007C6434"/>
    <w:rsid w:val="007C7268"/>
    <w:rsid w:val="007C73A4"/>
    <w:rsid w:val="007C7B0F"/>
    <w:rsid w:val="007D0B0D"/>
    <w:rsid w:val="007D23BA"/>
    <w:rsid w:val="007D2F10"/>
    <w:rsid w:val="007D518C"/>
    <w:rsid w:val="007D5640"/>
    <w:rsid w:val="007D66FF"/>
    <w:rsid w:val="007D6EEB"/>
    <w:rsid w:val="007E2218"/>
    <w:rsid w:val="007E2981"/>
    <w:rsid w:val="007E2F1A"/>
    <w:rsid w:val="007E30E2"/>
    <w:rsid w:val="007E3631"/>
    <w:rsid w:val="007E3922"/>
    <w:rsid w:val="007E3D46"/>
    <w:rsid w:val="007E4582"/>
    <w:rsid w:val="007E5102"/>
    <w:rsid w:val="007E7011"/>
    <w:rsid w:val="007F033D"/>
    <w:rsid w:val="007F0BF8"/>
    <w:rsid w:val="007F107D"/>
    <w:rsid w:val="007F147D"/>
    <w:rsid w:val="007F2192"/>
    <w:rsid w:val="007F2B1F"/>
    <w:rsid w:val="007F30E3"/>
    <w:rsid w:val="007F4FFA"/>
    <w:rsid w:val="007F536B"/>
    <w:rsid w:val="007F7C2C"/>
    <w:rsid w:val="0080004F"/>
    <w:rsid w:val="00800395"/>
    <w:rsid w:val="00800889"/>
    <w:rsid w:val="00801D98"/>
    <w:rsid w:val="008021EB"/>
    <w:rsid w:val="00802861"/>
    <w:rsid w:val="00802C17"/>
    <w:rsid w:val="00804A25"/>
    <w:rsid w:val="008058F2"/>
    <w:rsid w:val="00805A50"/>
    <w:rsid w:val="00805CD9"/>
    <w:rsid w:val="008067FA"/>
    <w:rsid w:val="00806A01"/>
    <w:rsid w:val="00806DD0"/>
    <w:rsid w:val="00806E3E"/>
    <w:rsid w:val="00807858"/>
    <w:rsid w:val="00807900"/>
    <w:rsid w:val="00807FA0"/>
    <w:rsid w:val="0081109C"/>
    <w:rsid w:val="00811A7D"/>
    <w:rsid w:val="00813F26"/>
    <w:rsid w:val="008140F7"/>
    <w:rsid w:val="0081445B"/>
    <w:rsid w:val="00814825"/>
    <w:rsid w:val="00814AFE"/>
    <w:rsid w:val="00817075"/>
    <w:rsid w:val="0081769B"/>
    <w:rsid w:val="0082003A"/>
    <w:rsid w:val="00821E00"/>
    <w:rsid w:val="0082240B"/>
    <w:rsid w:val="0082262D"/>
    <w:rsid w:val="00823BF5"/>
    <w:rsid w:val="008244F1"/>
    <w:rsid w:val="00824D8E"/>
    <w:rsid w:val="00825BD8"/>
    <w:rsid w:val="00830FCF"/>
    <w:rsid w:val="00832C92"/>
    <w:rsid w:val="00834E01"/>
    <w:rsid w:val="00835A16"/>
    <w:rsid w:val="0083622A"/>
    <w:rsid w:val="00837460"/>
    <w:rsid w:val="0083770D"/>
    <w:rsid w:val="00840035"/>
    <w:rsid w:val="00840086"/>
    <w:rsid w:val="00842F66"/>
    <w:rsid w:val="00843490"/>
    <w:rsid w:val="00843B53"/>
    <w:rsid w:val="0084447B"/>
    <w:rsid w:val="00844FC1"/>
    <w:rsid w:val="008450BE"/>
    <w:rsid w:val="008459D4"/>
    <w:rsid w:val="00850B44"/>
    <w:rsid w:val="0085140E"/>
    <w:rsid w:val="008517D5"/>
    <w:rsid w:val="0085199A"/>
    <w:rsid w:val="008522C6"/>
    <w:rsid w:val="00852B85"/>
    <w:rsid w:val="00852EDC"/>
    <w:rsid w:val="008537DB"/>
    <w:rsid w:val="0085470E"/>
    <w:rsid w:val="00854E41"/>
    <w:rsid w:val="008553DE"/>
    <w:rsid w:val="00855655"/>
    <w:rsid w:val="008556B4"/>
    <w:rsid w:val="00855DEE"/>
    <w:rsid w:val="0085607A"/>
    <w:rsid w:val="0085608C"/>
    <w:rsid w:val="0086030F"/>
    <w:rsid w:val="00862732"/>
    <w:rsid w:val="0086289B"/>
    <w:rsid w:val="008631D4"/>
    <w:rsid w:val="00863D88"/>
    <w:rsid w:val="00864554"/>
    <w:rsid w:val="008649D0"/>
    <w:rsid w:val="00864B37"/>
    <w:rsid w:val="00866718"/>
    <w:rsid w:val="00867036"/>
    <w:rsid w:val="00867D44"/>
    <w:rsid w:val="00870203"/>
    <w:rsid w:val="00870508"/>
    <w:rsid w:val="00870521"/>
    <w:rsid w:val="00871900"/>
    <w:rsid w:val="00872166"/>
    <w:rsid w:val="00872408"/>
    <w:rsid w:val="00872463"/>
    <w:rsid w:val="00872DA9"/>
    <w:rsid w:val="00873406"/>
    <w:rsid w:val="0087505A"/>
    <w:rsid w:val="008752FF"/>
    <w:rsid w:val="008753D3"/>
    <w:rsid w:val="0087541E"/>
    <w:rsid w:val="00875A6C"/>
    <w:rsid w:val="0087792B"/>
    <w:rsid w:val="008812C9"/>
    <w:rsid w:val="00881A43"/>
    <w:rsid w:val="00881AB4"/>
    <w:rsid w:val="00882746"/>
    <w:rsid w:val="0088367E"/>
    <w:rsid w:val="00883990"/>
    <w:rsid w:val="00886425"/>
    <w:rsid w:val="00886552"/>
    <w:rsid w:val="00886AED"/>
    <w:rsid w:val="0089003A"/>
    <w:rsid w:val="008916B1"/>
    <w:rsid w:val="00891841"/>
    <w:rsid w:val="008918D2"/>
    <w:rsid w:val="00892299"/>
    <w:rsid w:val="00892A72"/>
    <w:rsid w:val="00893E4F"/>
    <w:rsid w:val="00894681"/>
    <w:rsid w:val="0089469A"/>
    <w:rsid w:val="0089477E"/>
    <w:rsid w:val="00894858"/>
    <w:rsid w:val="00894DF2"/>
    <w:rsid w:val="0089728F"/>
    <w:rsid w:val="008A06B8"/>
    <w:rsid w:val="008A126E"/>
    <w:rsid w:val="008A1330"/>
    <w:rsid w:val="008A1653"/>
    <w:rsid w:val="008A1A18"/>
    <w:rsid w:val="008A287E"/>
    <w:rsid w:val="008A2ECA"/>
    <w:rsid w:val="008A39F7"/>
    <w:rsid w:val="008A4AD6"/>
    <w:rsid w:val="008A577D"/>
    <w:rsid w:val="008A6AC6"/>
    <w:rsid w:val="008A77C1"/>
    <w:rsid w:val="008B0A70"/>
    <w:rsid w:val="008B3412"/>
    <w:rsid w:val="008B356A"/>
    <w:rsid w:val="008B4676"/>
    <w:rsid w:val="008B472B"/>
    <w:rsid w:val="008B4A72"/>
    <w:rsid w:val="008B5AA9"/>
    <w:rsid w:val="008B7194"/>
    <w:rsid w:val="008B7722"/>
    <w:rsid w:val="008C0BCE"/>
    <w:rsid w:val="008C0E07"/>
    <w:rsid w:val="008C2234"/>
    <w:rsid w:val="008C3FFF"/>
    <w:rsid w:val="008C53F4"/>
    <w:rsid w:val="008C55F4"/>
    <w:rsid w:val="008C5653"/>
    <w:rsid w:val="008C58BB"/>
    <w:rsid w:val="008C5CBD"/>
    <w:rsid w:val="008C71B1"/>
    <w:rsid w:val="008C7A88"/>
    <w:rsid w:val="008D035A"/>
    <w:rsid w:val="008D328B"/>
    <w:rsid w:val="008D3CFE"/>
    <w:rsid w:val="008D42B2"/>
    <w:rsid w:val="008D4767"/>
    <w:rsid w:val="008D52B9"/>
    <w:rsid w:val="008D6671"/>
    <w:rsid w:val="008D7057"/>
    <w:rsid w:val="008D7ADD"/>
    <w:rsid w:val="008D7CC0"/>
    <w:rsid w:val="008E02A8"/>
    <w:rsid w:val="008E049B"/>
    <w:rsid w:val="008E172C"/>
    <w:rsid w:val="008E3826"/>
    <w:rsid w:val="008E3BA7"/>
    <w:rsid w:val="008E55B4"/>
    <w:rsid w:val="008E60EF"/>
    <w:rsid w:val="008E689E"/>
    <w:rsid w:val="008F130C"/>
    <w:rsid w:val="008F20C3"/>
    <w:rsid w:val="008F25C4"/>
    <w:rsid w:val="008F29D5"/>
    <w:rsid w:val="008F3DB4"/>
    <w:rsid w:val="008F5014"/>
    <w:rsid w:val="008F58CE"/>
    <w:rsid w:val="008F6492"/>
    <w:rsid w:val="008F728B"/>
    <w:rsid w:val="008F72F5"/>
    <w:rsid w:val="0090185E"/>
    <w:rsid w:val="0090212D"/>
    <w:rsid w:val="009036FC"/>
    <w:rsid w:val="00903FFC"/>
    <w:rsid w:val="00904725"/>
    <w:rsid w:val="009049C0"/>
    <w:rsid w:val="00904C82"/>
    <w:rsid w:val="009058AB"/>
    <w:rsid w:val="0090599C"/>
    <w:rsid w:val="009068FE"/>
    <w:rsid w:val="00906E0C"/>
    <w:rsid w:val="009071DA"/>
    <w:rsid w:val="009079FF"/>
    <w:rsid w:val="009103F0"/>
    <w:rsid w:val="00910ABF"/>
    <w:rsid w:val="00910CB3"/>
    <w:rsid w:val="00910F73"/>
    <w:rsid w:val="009112F0"/>
    <w:rsid w:val="00913695"/>
    <w:rsid w:val="00914D7E"/>
    <w:rsid w:val="009161C2"/>
    <w:rsid w:val="00917A85"/>
    <w:rsid w:val="00917B07"/>
    <w:rsid w:val="009200E5"/>
    <w:rsid w:val="009201B0"/>
    <w:rsid w:val="00920362"/>
    <w:rsid w:val="00920C17"/>
    <w:rsid w:val="00920C3B"/>
    <w:rsid w:val="009213BA"/>
    <w:rsid w:val="009213C1"/>
    <w:rsid w:val="0092223F"/>
    <w:rsid w:val="009223F9"/>
    <w:rsid w:val="009224C2"/>
    <w:rsid w:val="0092259C"/>
    <w:rsid w:val="00923BA6"/>
    <w:rsid w:val="00923EE9"/>
    <w:rsid w:val="009240F2"/>
    <w:rsid w:val="009268F1"/>
    <w:rsid w:val="00926A32"/>
    <w:rsid w:val="00927A17"/>
    <w:rsid w:val="0093036C"/>
    <w:rsid w:val="00930F69"/>
    <w:rsid w:val="00931C2F"/>
    <w:rsid w:val="00932149"/>
    <w:rsid w:val="009327A3"/>
    <w:rsid w:val="009329F3"/>
    <w:rsid w:val="00933A02"/>
    <w:rsid w:val="009366D9"/>
    <w:rsid w:val="00936E21"/>
    <w:rsid w:val="0093705B"/>
    <w:rsid w:val="009375B9"/>
    <w:rsid w:val="009376E1"/>
    <w:rsid w:val="009402CC"/>
    <w:rsid w:val="0094085D"/>
    <w:rsid w:val="00942019"/>
    <w:rsid w:val="009421CF"/>
    <w:rsid w:val="00943295"/>
    <w:rsid w:val="009442F5"/>
    <w:rsid w:val="00944A32"/>
    <w:rsid w:val="009459F8"/>
    <w:rsid w:val="009462BF"/>
    <w:rsid w:val="00946A9F"/>
    <w:rsid w:val="009471FC"/>
    <w:rsid w:val="00947BD1"/>
    <w:rsid w:val="009501E7"/>
    <w:rsid w:val="00950F3B"/>
    <w:rsid w:val="00951F97"/>
    <w:rsid w:val="009524F4"/>
    <w:rsid w:val="00952611"/>
    <w:rsid w:val="00952BB1"/>
    <w:rsid w:val="00954825"/>
    <w:rsid w:val="009550C9"/>
    <w:rsid w:val="009555B7"/>
    <w:rsid w:val="0095561B"/>
    <w:rsid w:val="00955F11"/>
    <w:rsid w:val="00956467"/>
    <w:rsid w:val="0096066B"/>
    <w:rsid w:val="00960B2E"/>
    <w:rsid w:val="00960C0B"/>
    <w:rsid w:val="0096163A"/>
    <w:rsid w:val="009621DD"/>
    <w:rsid w:val="00962679"/>
    <w:rsid w:val="00962BF9"/>
    <w:rsid w:val="00964153"/>
    <w:rsid w:val="00964345"/>
    <w:rsid w:val="00964DF9"/>
    <w:rsid w:val="009672AB"/>
    <w:rsid w:val="00970748"/>
    <w:rsid w:val="009718AF"/>
    <w:rsid w:val="00971FD8"/>
    <w:rsid w:val="00975458"/>
    <w:rsid w:val="00976597"/>
    <w:rsid w:val="00976CBA"/>
    <w:rsid w:val="009778DC"/>
    <w:rsid w:val="00977F09"/>
    <w:rsid w:val="0098146B"/>
    <w:rsid w:val="009820E6"/>
    <w:rsid w:val="0098352A"/>
    <w:rsid w:val="0098464C"/>
    <w:rsid w:val="009850A1"/>
    <w:rsid w:val="00985989"/>
    <w:rsid w:val="00985FFE"/>
    <w:rsid w:val="00987AAC"/>
    <w:rsid w:val="009914B6"/>
    <w:rsid w:val="0099245B"/>
    <w:rsid w:val="00992894"/>
    <w:rsid w:val="00993063"/>
    <w:rsid w:val="0099408D"/>
    <w:rsid w:val="00994B04"/>
    <w:rsid w:val="00996590"/>
    <w:rsid w:val="00996AD1"/>
    <w:rsid w:val="00996B18"/>
    <w:rsid w:val="009A01A5"/>
    <w:rsid w:val="009A170B"/>
    <w:rsid w:val="009A3484"/>
    <w:rsid w:val="009A37BF"/>
    <w:rsid w:val="009A3EFC"/>
    <w:rsid w:val="009A4104"/>
    <w:rsid w:val="009A450B"/>
    <w:rsid w:val="009A4DFE"/>
    <w:rsid w:val="009A5B48"/>
    <w:rsid w:val="009A685E"/>
    <w:rsid w:val="009A6CA1"/>
    <w:rsid w:val="009A7525"/>
    <w:rsid w:val="009A79DC"/>
    <w:rsid w:val="009B0BF6"/>
    <w:rsid w:val="009B0FCC"/>
    <w:rsid w:val="009B1F55"/>
    <w:rsid w:val="009B30EB"/>
    <w:rsid w:val="009B3571"/>
    <w:rsid w:val="009B423B"/>
    <w:rsid w:val="009B45F2"/>
    <w:rsid w:val="009B5903"/>
    <w:rsid w:val="009B6B75"/>
    <w:rsid w:val="009C1659"/>
    <w:rsid w:val="009C1906"/>
    <w:rsid w:val="009C1C81"/>
    <w:rsid w:val="009C23E0"/>
    <w:rsid w:val="009C2CCD"/>
    <w:rsid w:val="009C4BF9"/>
    <w:rsid w:val="009C577E"/>
    <w:rsid w:val="009C6267"/>
    <w:rsid w:val="009C68FD"/>
    <w:rsid w:val="009C6EBE"/>
    <w:rsid w:val="009C7731"/>
    <w:rsid w:val="009C7A67"/>
    <w:rsid w:val="009D07EE"/>
    <w:rsid w:val="009D0B8A"/>
    <w:rsid w:val="009D1FAB"/>
    <w:rsid w:val="009D38A2"/>
    <w:rsid w:val="009D3DBC"/>
    <w:rsid w:val="009D4018"/>
    <w:rsid w:val="009D48C4"/>
    <w:rsid w:val="009D6415"/>
    <w:rsid w:val="009E225B"/>
    <w:rsid w:val="009E2FB1"/>
    <w:rsid w:val="009E4EC1"/>
    <w:rsid w:val="009E5005"/>
    <w:rsid w:val="009E658D"/>
    <w:rsid w:val="009E742C"/>
    <w:rsid w:val="009E7612"/>
    <w:rsid w:val="009E77AE"/>
    <w:rsid w:val="009E79B4"/>
    <w:rsid w:val="009E7ACC"/>
    <w:rsid w:val="009F09D7"/>
    <w:rsid w:val="009F1018"/>
    <w:rsid w:val="009F284B"/>
    <w:rsid w:val="009F2EF4"/>
    <w:rsid w:val="009F356B"/>
    <w:rsid w:val="009F383C"/>
    <w:rsid w:val="009F453A"/>
    <w:rsid w:val="009F543C"/>
    <w:rsid w:val="009F5B51"/>
    <w:rsid w:val="009F6BE4"/>
    <w:rsid w:val="00A0076C"/>
    <w:rsid w:val="00A00EAE"/>
    <w:rsid w:val="00A01413"/>
    <w:rsid w:val="00A01882"/>
    <w:rsid w:val="00A019E6"/>
    <w:rsid w:val="00A03BA7"/>
    <w:rsid w:val="00A04D04"/>
    <w:rsid w:val="00A0604C"/>
    <w:rsid w:val="00A06413"/>
    <w:rsid w:val="00A069D6"/>
    <w:rsid w:val="00A078BE"/>
    <w:rsid w:val="00A079AB"/>
    <w:rsid w:val="00A1077B"/>
    <w:rsid w:val="00A110AD"/>
    <w:rsid w:val="00A12167"/>
    <w:rsid w:val="00A12802"/>
    <w:rsid w:val="00A141CC"/>
    <w:rsid w:val="00A14848"/>
    <w:rsid w:val="00A14D0E"/>
    <w:rsid w:val="00A15D32"/>
    <w:rsid w:val="00A178D2"/>
    <w:rsid w:val="00A202B0"/>
    <w:rsid w:val="00A211B6"/>
    <w:rsid w:val="00A2180A"/>
    <w:rsid w:val="00A2282D"/>
    <w:rsid w:val="00A228B4"/>
    <w:rsid w:val="00A22A0B"/>
    <w:rsid w:val="00A22FE4"/>
    <w:rsid w:val="00A23B26"/>
    <w:rsid w:val="00A23DCF"/>
    <w:rsid w:val="00A25B2B"/>
    <w:rsid w:val="00A26779"/>
    <w:rsid w:val="00A27ADB"/>
    <w:rsid w:val="00A27C35"/>
    <w:rsid w:val="00A303D0"/>
    <w:rsid w:val="00A3056F"/>
    <w:rsid w:val="00A30BC1"/>
    <w:rsid w:val="00A30C8D"/>
    <w:rsid w:val="00A310C6"/>
    <w:rsid w:val="00A315A4"/>
    <w:rsid w:val="00A335D7"/>
    <w:rsid w:val="00A34DEB"/>
    <w:rsid w:val="00A35A48"/>
    <w:rsid w:val="00A363D1"/>
    <w:rsid w:val="00A36F36"/>
    <w:rsid w:val="00A3741D"/>
    <w:rsid w:val="00A37627"/>
    <w:rsid w:val="00A376BF"/>
    <w:rsid w:val="00A401D9"/>
    <w:rsid w:val="00A41E3B"/>
    <w:rsid w:val="00A42A58"/>
    <w:rsid w:val="00A42D1B"/>
    <w:rsid w:val="00A42F17"/>
    <w:rsid w:val="00A433FD"/>
    <w:rsid w:val="00A43CB7"/>
    <w:rsid w:val="00A4405C"/>
    <w:rsid w:val="00A44544"/>
    <w:rsid w:val="00A4457D"/>
    <w:rsid w:val="00A46C31"/>
    <w:rsid w:val="00A50682"/>
    <w:rsid w:val="00A514B2"/>
    <w:rsid w:val="00A516AE"/>
    <w:rsid w:val="00A52130"/>
    <w:rsid w:val="00A525F6"/>
    <w:rsid w:val="00A5262F"/>
    <w:rsid w:val="00A535E5"/>
    <w:rsid w:val="00A54B4C"/>
    <w:rsid w:val="00A56568"/>
    <w:rsid w:val="00A5700C"/>
    <w:rsid w:val="00A61734"/>
    <w:rsid w:val="00A617EB"/>
    <w:rsid w:val="00A61B0B"/>
    <w:rsid w:val="00A62E7C"/>
    <w:rsid w:val="00A63380"/>
    <w:rsid w:val="00A64512"/>
    <w:rsid w:val="00A64968"/>
    <w:rsid w:val="00A649F5"/>
    <w:rsid w:val="00A652BF"/>
    <w:rsid w:val="00A65976"/>
    <w:rsid w:val="00A65B84"/>
    <w:rsid w:val="00A65FC8"/>
    <w:rsid w:val="00A66791"/>
    <w:rsid w:val="00A66EEA"/>
    <w:rsid w:val="00A70182"/>
    <w:rsid w:val="00A703CF"/>
    <w:rsid w:val="00A70DB2"/>
    <w:rsid w:val="00A71E2F"/>
    <w:rsid w:val="00A72503"/>
    <w:rsid w:val="00A72633"/>
    <w:rsid w:val="00A737A7"/>
    <w:rsid w:val="00A75EE3"/>
    <w:rsid w:val="00A76146"/>
    <w:rsid w:val="00A77AA1"/>
    <w:rsid w:val="00A83315"/>
    <w:rsid w:val="00A83870"/>
    <w:rsid w:val="00A83922"/>
    <w:rsid w:val="00A83ADC"/>
    <w:rsid w:val="00A83CB1"/>
    <w:rsid w:val="00A842FC"/>
    <w:rsid w:val="00A84D5E"/>
    <w:rsid w:val="00A84EDB"/>
    <w:rsid w:val="00A85EEE"/>
    <w:rsid w:val="00A86CB8"/>
    <w:rsid w:val="00A873DD"/>
    <w:rsid w:val="00A90DD4"/>
    <w:rsid w:val="00A926AE"/>
    <w:rsid w:val="00A93199"/>
    <w:rsid w:val="00A9354A"/>
    <w:rsid w:val="00A935D8"/>
    <w:rsid w:val="00A93689"/>
    <w:rsid w:val="00A9413D"/>
    <w:rsid w:val="00A94245"/>
    <w:rsid w:val="00A94D27"/>
    <w:rsid w:val="00A95E56"/>
    <w:rsid w:val="00A9669A"/>
    <w:rsid w:val="00A97772"/>
    <w:rsid w:val="00AA0401"/>
    <w:rsid w:val="00AA1FBF"/>
    <w:rsid w:val="00AA2E19"/>
    <w:rsid w:val="00AA3371"/>
    <w:rsid w:val="00AA3594"/>
    <w:rsid w:val="00AA3A6B"/>
    <w:rsid w:val="00AA3E28"/>
    <w:rsid w:val="00AA7022"/>
    <w:rsid w:val="00AA7714"/>
    <w:rsid w:val="00AB04FA"/>
    <w:rsid w:val="00AB18C0"/>
    <w:rsid w:val="00AB1E2E"/>
    <w:rsid w:val="00AB21DE"/>
    <w:rsid w:val="00AB23F0"/>
    <w:rsid w:val="00AB26A7"/>
    <w:rsid w:val="00AB2C26"/>
    <w:rsid w:val="00AB36FF"/>
    <w:rsid w:val="00AB3FAA"/>
    <w:rsid w:val="00AB40E9"/>
    <w:rsid w:val="00AB4124"/>
    <w:rsid w:val="00AB4227"/>
    <w:rsid w:val="00AB59C8"/>
    <w:rsid w:val="00AB68EE"/>
    <w:rsid w:val="00AB7094"/>
    <w:rsid w:val="00AC09A7"/>
    <w:rsid w:val="00AC09B4"/>
    <w:rsid w:val="00AC14ED"/>
    <w:rsid w:val="00AC1CB6"/>
    <w:rsid w:val="00AC1EAE"/>
    <w:rsid w:val="00AC1F5C"/>
    <w:rsid w:val="00AC3101"/>
    <w:rsid w:val="00AC34F4"/>
    <w:rsid w:val="00AC3AFC"/>
    <w:rsid w:val="00AC439C"/>
    <w:rsid w:val="00AC4D84"/>
    <w:rsid w:val="00AC5EE3"/>
    <w:rsid w:val="00AC61AF"/>
    <w:rsid w:val="00AC6273"/>
    <w:rsid w:val="00AC6F96"/>
    <w:rsid w:val="00AC7244"/>
    <w:rsid w:val="00AC763A"/>
    <w:rsid w:val="00AC7D5B"/>
    <w:rsid w:val="00AC7FF4"/>
    <w:rsid w:val="00AD0201"/>
    <w:rsid w:val="00AD0E10"/>
    <w:rsid w:val="00AD23C2"/>
    <w:rsid w:val="00AD2DED"/>
    <w:rsid w:val="00AD2E62"/>
    <w:rsid w:val="00AD34F7"/>
    <w:rsid w:val="00AD3E54"/>
    <w:rsid w:val="00AD5C2A"/>
    <w:rsid w:val="00AD62A4"/>
    <w:rsid w:val="00AD641E"/>
    <w:rsid w:val="00AD7C97"/>
    <w:rsid w:val="00AE121F"/>
    <w:rsid w:val="00AE165F"/>
    <w:rsid w:val="00AE341F"/>
    <w:rsid w:val="00AE5455"/>
    <w:rsid w:val="00AE590C"/>
    <w:rsid w:val="00AE5E9F"/>
    <w:rsid w:val="00AE6D10"/>
    <w:rsid w:val="00AE6F9F"/>
    <w:rsid w:val="00AE7DD3"/>
    <w:rsid w:val="00AF0C29"/>
    <w:rsid w:val="00AF0D6D"/>
    <w:rsid w:val="00AF0EB0"/>
    <w:rsid w:val="00AF10D1"/>
    <w:rsid w:val="00AF1171"/>
    <w:rsid w:val="00AF1CC2"/>
    <w:rsid w:val="00AF5ABE"/>
    <w:rsid w:val="00AF6587"/>
    <w:rsid w:val="00AF6A69"/>
    <w:rsid w:val="00B01E40"/>
    <w:rsid w:val="00B0239A"/>
    <w:rsid w:val="00B043BD"/>
    <w:rsid w:val="00B04725"/>
    <w:rsid w:val="00B04C2C"/>
    <w:rsid w:val="00B054B3"/>
    <w:rsid w:val="00B05C76"/>
    <w:rsid w:val="00B05F60"/>
    <w:rsid w:val="00B06F98"/>
    <w:rsid w:val="00B0719A"/>
    <w:rsid w:val="00B07401"/>
    <w:rsid w:val="00B07FFC"/>
    <w:rsid w:val="00B112BF"/>
    <w:rsid w:val="00B13CC1"/>
    <w:rsid w:val="00B14ECE"/>
    <w:rsid w:val="00B14F0F"/>
    <w:rsid w:val="00B16EFC"/>
    <w:rsid w:val="00B17D80"/>
    <w:rsid w:val="00B17F50"/>
    <w:rsid w:val="00B202A8"/>
    <w:rsid w:val="00B229C1"/>
    <w:rsid w:val="00B22A77"/>
    <w:rsid w:val="00B2438C"/>
    <w:rsid w:val="00B24705"/>
    <w:rsid w:val="00B24C9E"/>
    <w:rsid w:val="00B2607B"/>
    <w:rsid w:val="00B26609"/>
    <w:rsid w:val="00B305E1"/>
    <w:rsid w:val="00B30936"/>
    <w:rsid w:val="00B30DFA"/>
    <w:rsid w:val="00B31556"/>
    <w:rsid w:val="00B32C6C"/>
    <w:rsid w:val="00B334E3"/>
    <w:rsid w:val="00B33DA2"/>
    <w:rsid w:val="00B37951"/>
    <w:rsid w:val="00B37E1A"/>
    <w:rsid w:val="00B41FC4"/>
    <w:rsid w:val="00B4314D"/>
    <w:rsid w:val="00B44E2B"/>
    <w:rsid w:val="00B45090"/>
    <w:rsid w:val="00B46DB5"/>
    <w:rsid w:val="00B46E74"/>
    <w:rsid w:val="00B47903"/>
    <w:rsid w:val="00B47E61"/>
    <w:rsid w:val="00B50E96"/>
    <w:rsid w:val="00B51430"/>
    <w:rsid w:val="00B51966"/>
    <w:rsid w:val="00B532E4"/>
    <w:rsid w:val="00B536E0"/>
    <w:rsid w:val="00B53E27"/>
    <w:rsid w:val="00B55F6B"/>
    <w:rsid w:val="00B55FF4"/>
    <w:rsid w:val="00B56077"/>
    <w:rsid w:val="00B56C24"/>
    <w:rsid w:val="00B57011"/>
    <w:rsid w:val="00B57AFE"/>
    <w:rsid w:val="00B61BFB"/>
    <w:rsid w:val="00B622AC"/>
    <w:rsid w:val="00B631DE"/>
    <w:rsid w:val="00B63456"/>
    <w:rsid w:val="00B635BA"/>
    <w:rsid w:val="00B64981"/>
    <w:rsid w:val="00B64AE4"/>
    <w:rsid w:val="00B6540A"/>
    <w:rsid w:val="00B657E1"/>
    <w:rsid w:val="00B65E57"/>
    <w:rsid w:val="00B66961"/>
    <w:rsid w:val="00B66EEA"/>
    <w:rsid w:val="00B67022"/>
    <w:rsid w:val="00B707F7"/>
    <w:rsid w:val="00B71F5A"/>
    <w:rsid w:val="00B72DAF"/>
    <w:rsid w:val="00B73FB4"/>
    <w:rsid w:val="00B74FA3"/>
    <w:rsid w:val="00B75E05"/>
    <w:rsid w:val="00B763F1"/>
    <w:rsid w:val="00B76FDA"/>
    <w:rsid w:val="00B773C0"/>
    <w:rsid w:val="00B800F1"/>
    <w:rsid w:val="00B81409"/>
    <w:rsid w:val="00B81E22"/>
    <w:rsid w:val="00B8255C"/>
    <w:rsid w:val="00B828A1"/>
    <w:rsid w:val="00B8379F"/>
    <w:rsid w:val="00B83E5A"/>
    <w:rsid w:val="00B84614"/>
    <w:rsid w:val="00B8554C"/>
    <w:rsid w:val="00B85E65"/>
    <w:rsid w:val="00B862F7"/>
    <w:rsid w:val="00B91DA3"/>
    <w:rsid w:val="00B91DBF"/>
    <w:rsid w:val="00B92AA9"/>
    <w:rsid w:val="00B93217"/>
    <w:rsid w:val="00B933D5"/>
    <w:rsid w:val="00B93471"/>
    <w:rsid w:val="00B9359D"/>
    <w:rsid w:val="00B936E7"/>
    <w:rsid w:val="00B94315"/>
    <w:rsid w:val="00B967F7"/>
    <w:rsid w:val="00B96CEE"/>
    <w:rsid w:val="00B979EC"/>
    <w:rsid w:val="00B97DB7"/>
    <w:rsid w:val="00BA000B"/>
    <w:rsid w:val="00BA0AB3"/>
    <w:rsid w:val="00BA0F75"/>
    <w:rsid w:val="00BA15EA"/>
    <w:rsid w:val="00BA15EC"/>
    <w:rsid w:val="00BA2F06"/>
    <w:rsid w:val="00BA3431"/>
    <w:rsid w:val="00BA3882"/>
    <w:rsid w:val="00BA3D03"/>
    <w:rsid w:val="00BA4A68"/>
    <w:rsid w:val="00BA4B0B"/>
    <w:rsid w:val="00BA566C"/>
    <w:rsid w:val="00BA6693"/>
    <w:rsid w:val="00BA675B"/>
    <w:rsid w:val="00BB0031"/>
    <w:rsid w:val="00BB01D5"/>
    <w:rsid w:val="00BB0F51"/>
    <w:rsid w:val="00BB1AC2"/>
    <w:rsid w:val="00BB26BD"/>
    <w:rsid w:val="00BB2778"/>
    <w:rsid w:val="00BB2C54"/>
    <w:rsid w:val="00BB33B9"/>
    <w:rsid w:val="00BB3734"/>
    <w:rsid w:val="00BB4456"/>
    <w:rsid w:val="00BB4723"/>
    <w:rsid w:val="00BB55C3"/>
    <w:rsid w:val="00BB6135"/>
    <w:rsid w:val="00BB6979"/>
    <w:rsid w:val="00BB6FF0"/>
    <w:rsid w:val="00BC250E"/>
    <w:rsid w:val="00BC3BEE"/>
    <w:rsid w:val="00BC4B43"/>
    <w:rsid w:val="00BC502F"/>
    <w:rsid w:val="00BC5745"/>
    <w:rsid w:val="00BC58BD"/>
    <w:rsid w:val="00BC5CE9"/>
    <w:rsid w:val="00BC6735"/>
    <w:rsid w:val="00BC6B49"/>
    <w:rsid w:val="00BD15C0"/>
    <w:rsid w:val="00BD2337"/>
    <w:rsid w:val="00BD3711"/>
    <w:rsid w:val="00BD5168"/>
    <w:rsid w:val="00BD682A"/>
    <w:rsid w:val="00BD7194"/>
    <w:rsid w:val="00BE073C"/>
    <w:rsid w:val="00BE0C39"/>
    <w:rsid w:val="00BE1385"/>
    <w:rsid w:val="00BE21C8"/>
    <w:rsid w:val="00BE2603"/>
    <w:rsid w:val="00BE3379"/>
    <w:rsid w:val="00BE3F4E"/>
    <w:rsid w:val="00BE4361"/>
    <w:rsid w:val="00BE46F5"/>
    <w:rsid w:val="00BE5F83"/>
    <w:rsid w:val="00BE6A0C"/>
    <w:rsid w:val="00BF01BD"/>
    <w:rsid w:val="00BF14D9"/>
    <w:rsid w:val="00BF2BAB"/>
    <w:rsid w:val="00BF2CFD"/>
    <w:rsid w:val="00BF335B"/>
    <w:rsid w:val="00BF3FF9"/>
    <w:rsid w:val="00BF4E23"/>
    <w:rsid w:val="00BF54A2"/>
    <w:rsid w:val="00BF5507"/>
    <w:rsid w:val="00BF577B"/>
    <w:rsid w:val="00BF6377"/>
    <w:rsid w:val="00BF63C0"/>
    <w:rsid w:val="00BF6F10"/>
    <w:rsid w:val="00BF7238"/>
    <w:rsid w:val="00BF7D2E"/>
    <w:rsid w:val="00C0201A"/>
    <w:rsid w:val="00C02BF8"/>
    <w:rsid w:val="00C03A60"/>
    <w:rsid w:val="00C04215"/>
    <w:rsid w:val="00C044C8"/>
    <w:rsid w:val="00C04BA3"/>
    <w:rsid w:val="00C07014"/>
    <w:rsid w:val="00C07258"/>
    <w:rsid w:val="00C07832"/>
    <w:rsid w:val="00C07EE3"/>
    <w:rsid w:val="00C10F80"/>
    <w:rsid w:val="00C11062"/>
    <w:rsid w:val="00C11F4B"/>
    <w:rsid w:val="00C1329D"/>
    <w:rsid w:val="00C138E1"/>
    <w:rsid w:val="00C139E7"/>
    <w:rsid w:val="00C14C49"/>
    <w:rsid w:val="00C15377"/>
    <w:rsid w:val="00C153DE"/>
    <w:rsid w:val="00C16403"/>
    <w:rsid w:val="00C16C50"/>
    <w:rsid w:val="00C171B4"/>
    <w:rsid w:val="00C17A74"/>
    <w:rsid w:val="00C2021E"/>
    <w:rsid w:val="00C20ED9"/>
    <w:rsid w:val="00C2141E"/>
    <w:rsid w:val="00C21420"/>
    <w:rsid w:val="00C23BFB"/>
    <w:rsid w:val="00C245E1"/>
    <w:rsid w:val="00C24A08"/>
    <w:rsid w:val="00C25B36"/>
    <w:rsid w:val="00C25F8B"/>
    <w:rsid w:val="00C2613E"/>
    <w:rsid w:val="00C26163"/>
    <w:rsid w:val="00C275D7"/>
    <w:rsid w:val="00C278C1"/>
    <w:rsid w:val="00C300D6"/>
    <w:rsid w:val="00C3020A"/>
    <w:rsid w:val="00C30444"/>
    <w:rsid w:val="00C3054C"/>
    <w:rsid w:val="00C30700"/>
    <w:rsid w:val="00C3196C"/>
    <w:rsid w:val="00C33F7D"/>
    <w:rsid w:val="00C3698C"/>
    <w:rsid w:val="00C3744F"/>
    <w:rsid w:val="00C37EBB"/>
    <w:rsid w:val="00C4006A"/>
    <w:rsid w:val="00C40111"/>
    <w:rsid w:val="00C403A5"/>
    <w:rsid w:val="00C404BB"/>
    <w:rsid w:val="00C4051C"/>
    <w:rsid w:val="00C40590"/>
    <w:rsid w:val="00C407B2"/>
    <w:rsid w:val="00C40A67"/>
    <w:rsid w:val="00C44097"/>
    <w:rsid w:val="00C44AE5"/>
    <w:rsid w:val="00C44CAD"/>
    <w:rsid w:val="00C45C1D"/>
    <w:rsid w:val="00C46147"/>
    <w:rsid w:val="00C462C9"/>
    <w:rsid w:val="00C50301"/>
    <w:rsid w:val="00C51E3A"/>
    <w:rsid w:val="00C52636"/>
    <w:rsid w:val="00C52E74"/>
    <w:rsid w:val="00C53BC6"/>
    <w:rsid w:val="00C53E08"/>
    <w:rsid w:val="00C5456D"/>
    <w:rsid w:val="00C56303"/>
    <w:rsid w:val="00C60287"/>
    <w:rsid w:val="00C607FC"/>
    <w:rsid w:val="00C607FF"/>
    <w:rsid w:val="00C61B51"/>
    <w:rsid w:val="00C61B8A"/>
    <w:rsid w:val="00C61FBA"/>
    <w:rsid w:val="00C63CF4"/>
    <w:rsid w:val="00C63FB0"/>
    <w:rsid w:val="00C64EC1"/>
    <w:rsid w:val="00C672B9"/>
    <w:rsid w:val="00C672E8"/>
    <w:rsid w:val="00C71F07"/>
    <w:rsid w:val="00C72AA1"/>
    <w:rsid w:val="00C7388E"/>
    <w:rsid w:val="00C73FED"/>
    <w:rsid w:val="00C74B8D"/>
    <w:rsid w:val="00C75ED0"/>
    <w:rsid w:val="00C76F09"/>
    <w:rsid w:val="00C77043"/>
    <w:rsid w:val="00C77B9C"/>
    <w:rsid w:val="00C8015B"/>
    <w:rsid w:val="00C81A31"/>
    <w:rsid w:val="00C81ED7"/>
    <w:rsid w:val="00C82A3A"/>
    <w:rsid w:val="00C84E29"/>
    <w:rsid w:val="00C85C1F"/>
    <w:rsid w:val="00C86010"/>
    <w:rsid w:val="00C863BC"/>
    <w:rsid w:val="00C875A8"/>
    <w:rsid w:val="00C87C85"/>
    <w:rsid w:val="00C9089A"/>
    <w:rsid w:val="00C90A4F"/>
    <w:rsid w:val="00C91074"/>
    <w:rsid w:val="00C913C8"/>
    <w:rsid w:val="00C919C0"/>
    <w:rsid w:val="00C91CB9"/>
    <w:rsid w:val="00C93D0D"/>
    <w:rsid w:val="00C94022"/>
    <w:rsid w:val="00C95252"/>
    <w:rsid w:val="00CA0CE9"/>
    <w:rsid w:val="00CA1E45"/>
    <w:rsid w:val="00CA2190"/>
    <w:rsid w:val="00CA2955"/>
    <w:rsid w:val="00CA3FD9"/>
    <w:rsid w:val="00CA3FF0"/>
    <w:rsid w:val="00CA4D16"/>
    <w:rsid w:val="00CA514A"/>
    <w:rsid w:val="00CA5299"/>
    <w:rsid w:val="00CA52FC"/>
    <w:rsid w:val="00CA5680"/>
    <w:rsid w:val="00CA5D4F"/>
    <w:rsid w:val="00CA6ED0"/>
    <w:rsid w:val="00CA704D"/>
    <w:rsid w:val="00CA7422"/>
    <w:rsid w:val="00CA7502"/>
    <w:rsid w:val="00CA7942"/>
    <w:rsid w:val="00CB0073"/>
    <w:rsid w:val="00CB0C88"/>
    <w:rsid w:val="00CB0EFA"/>
    <w:rsid w:val="00CB107D"/>
    <w:rsid w:val="00CB13A5"/>
    <w:rsid w:val="00CB162B"/>
    <w:rsid w:val="00CB1D7A"/>
    <w:rsid w:val="00CB201E"/>
    <w:rsid w:val="00CB35D3"/>
    <w:rsid w:val="00CB36F3"/>
    <w:rsid w:val="00CB3711"/>
    <w:rsid w:val="00CB4887"/>
    <w:rsid w:val="00CB5100"/>
    <w:rsid w:val="00CB5BD4"/>
    <w:rsid w:val="00CB5CFF"/>
    <w:rsid w:val="00CB618A"/>
    <w:rsid w:val="00CB69E5"/>
    <w:rsid w:val="00CC0606"/>
    <w:rsid w:val="00CC0CFB"/>
    <w:rsid w:val="00CC1AC4"/>
    <w:rsid w:val="00CC1BD6"/>
    <w:rsid w:val="00CC2067"/>
    <w:rsid w:val="00CC22A6"/>
    <w:rsid w:val="00CC22AB"/>
    <w:rsid w:val="00CC28C4"/>
    <w:rsid w:val="00CC3500"/>
    <w:rsid w:val="00CC3707"/>
    <w:rsid w:val="00CC42C8"/>
    <w:rsid w:val="00CC49E8"/>
    <w:rsid w:val="00CC4A47"/>
    <w:rsid w:val="00CC5495"/>
    <w:rsid w:val="00CC5DD9"/>
    <w:rsid w:val="00CC65E3"/>
    <w:rsid w:val="00CC6C7D"/>
    <w:rsid w:val="00CC7EC5"/>
    <w:rsid w:val="00CD03B1"/>
    <w:rsid w:val="00CD0785"/>
    <w:rsid w:val="00CD084F"/>
    <w:rsid w:val="00CD1D97"/>
    <w:rsid w:val="00CD365B"/>
    <w:rsid w:val="00CD3F13"/>
    <w:rsid w:val="00CD42B5"/>
    <w:rsid w:val="00CD518E"/>
    <w:rsid w:val="00CD55D7"/>
    <w:rsid w:val="00CD602A"/>
    <w:rsid w:val="00CD73D3"/>
    <w:rsid w:val="00CE00B2"/>
    <w:rsid w:val="00CE0D1F"/>
    <w:rsid w:val="00CE16F2"/>
    <w:rsid w:val="00CE1880"/>
    <w:rsid w:val="00CE3CE8"/>
    <w:rsid w:val="00CE4A2E"/>
    <w:rsid w:val="00CE63B1"/>
    <w:rsid w:val="00CE64BB"/>
    <w:rsid w:val="00CE75C6"/>
    <w:rsid w:val="00CE7EC5"/>
    <w:rsid w:val="00CF071F"/>
    <w:rsid w:val="00CF0921"/>
    <w:rsid w:val="00CF0CCE"/>
    <w:rsid w:val="00CF114C"/>
    <w:rsid w:val="00CF12B3"/>
    <w:rsid w:val="00CF1EEB"/>
    <w:rsid w:val="00CF23FA"/>
    <w:rsid w:val="00CF4A6B"/>
    <w:rsid w:val="00CF5239"/>
    <w:rsid w:val="00CF5461"/>
    <w:rsid w:val="00CF5ADE"/>
    <w:rsid w:val="00D000FD"/>
    <w:rsid w:val="00D00259"/>
    <w:rsid w:val="00D01D0F"/>
    <w:rsid w:val="00D026DA"/>
    <w:rsid w:val="00D02E57"/>
    <w:rsid w:val="00D02E9D"/>
    <w:rsid w:val="00D034D2"/>
    <w:rsid w:val="00D03F23"/>
    <w:rsid w:val="00D04273"/>
    <w:rsid w:val="00D04DD7"/>
    <w:rsid w:val="00D05910"/>
    <w:rsid w:val="00D0674A"/>
    <w:rsid w:val="00D06896"/>
    <w:rsid w:val="00D072AE"/>
    <w:rsid w:val="00D077F7"/>
    <w:rsid w:val="00D11909"/>
    <w:rsid w:val="00D12411"/>
    <w:rsid w:val="00D12649"/>
    <w:rsid w:val="00D131A8"/>
    <w:rsid w:val="00D14E1B"/>
    <w:rsid w:val="00D15892"/>
    <w:rsid w:val="00D159D3"/>
    <w:rsid w:val="00D15ADA"/>
    <w:rsid w:val="00D15CC7"/>
    <w:rsid w:val="00D16B08"/>
    <w:rsid w:val="00D1791D"/>
    <w:rsid w:val="00D20763"/>
    <w:rsid w:val="00D2147B"/>
    <w:rsid w:val="00D223EC"/>
    <w:rsid w:val="00D23897"/>
    <w:rsid w:val="00D2510C"/>
    <w:rsid w:val="00D2512C"/>
    <w:rsid w:val="00D25B3E"/>
    <w:rsid w:val="00D25DAE"/>
    <w:rsid w:val="00D267F0"/>
    <w:rsid w:val="00D273F7"/>
    <w:rsid w:val="00D3041C"/>
    <w:rsid w:val="00D31118"/>
    <w:rsid w:val="00D328CD"/>
    <w:rsid w:val="00D32BB6"/>
    <w:rsid w:val="00D331E4"/>
    <w:rsid w:val="00D3490B"/>
    <w:rsid w:val="00D354DE"/>
    <w:rsid w:val="00D354EC"/>
    <w:rsid w:val="00D3594B"/>
    <w:rsid w:val="00D368C3"/>
    <w:rsid w:val="00D3690A"/>
    <w:rsid w:val="00D36E93"/>
    <w:rsid w:val="00D37037"/>
    <w:rsid w:val="00D376E3"/>
    <w:rsid w:val="00D402E6"/>
    <w:rsid w:val="00D4096D"/>
    <w:rsid w:val="00D414B7"/>
    <w:rsid w:val="00D4168D"/>
    <w:rsid w:val="00D423D3"/>
    <w:rsid w:val="00D435AA"/>
    <w:rsid w:val="00D43BDC"/>
    <w:rsid w:val="00D452E3"/>
    <w:rsid w:val="00D45AD2"/>
    <w:rsid w:val="00D465FF"/>
    <w:rsid w:val="00D4748C"/>
    <w:rsid w:val="00D47DB9"/>
    <w:rsid w:val="00D502AF"/>
    <w:rsid w:val="00D531FC"/>
    <w:rsid w:val="00D53397"/>
    <w:rsid w:val="00D539DF"/>
    <w:rsid w:val="00D549B0"/>
    <w:rsid w:val="00D54A91"/>
    <w:rsid w:val="00D54C77"/>
    <w:rsid w:val="00D555B5"/>
    <w:rsid w:val="00D56346"/>
    <w:rsid w:val="00D5696D"/>
    <w:rsid w:val="00D569B1"/>
    <w:rsid w:val="00D56B2D"/>
    <w:rsid w:val="00D5709A"/>
    <w:rsid w:val="00D57886"/>
    <w:rsid w:val="00D60873"/>
    <w:rsid w:val="00D61B9F"/>
    <w:rsid w:val="00D61FC1"/>
    <w:rsid w:val="00D629EC"/>
    <w:rsid w:val="00D62DE9"/>
    <w:rsid w:val="00D6384A"/>
    <w:rsid w:val="00D66E09"/>
    <w:rsid w:val="00D678C4"/>
    <w:rsid w:val="00D67ADA"/>
    <w:rsid w:val="00D702FB"/>
    <w:rsid w:val="00D714BE"/>
    <w:rsid w:val="00D71B37"/>
    <w:rsid w:val="00D71DEC"/>
    <w:rsid w:val="00D71E65"/>
    <w:rsid w:val="00D728A7"/>
    <w:rsid w:val="00D730CA"/>
    <w:rsid w:val="00D73F06"/>
    <w:rsid w:val="00D742A4"/>
    <w:rsid w:val="00D759A6"/>
    <w:rsid w:val="00D75A39"/>
    <w:rsid w:val="00D75E9D"/>
    <w:rsid w:val="00D80606"/>
    <w:rsid w:val="00D822BB"/>
    <w:rsid w:val="00D82B8A"/>
    <w:rsid w:val="00D82D1D"/>
    <w:rsid w:val="00D82DD0"/>
    <w:rsid w:val="00D83817"/>
    <w:rsid w:val="00D83B1F"/>
    <w:rsid w:val="00D86EAC"/>
    <w:rsid w:val="00D87D23"/>
    <w:rsid w:val="00D9014C"/>
    <w:rsid w:val="00D901AD"/>
    <w:rsid w:val="00D917AD"/>
    <w:rsid w:val="00D91D75"/>
    <w:rsid w:val="00D9335B"/>
    <w:rsid w:val="00D93E44"/>
    <w:rsid w:val="00D94744"/>
    <w:rsid w:val="00D9582B"/>
    <w:rsid w:val="00D95ACD"/>
    <w:rsid w:val="00D96EA7"/>
    <w:rsid w:val="00D96F85"/>
    <w:rsid w:val="00D97E18"/>
    <w:rsid w:val="00DA1625"/>
    <w:rsid w:val="00DA170D"/>
    <w:rsid w:val="00DA1A2E"/>
    <w:rsid w:val="00DA1FF8"/>
    <w:rsid w:val="00DA2BC6"/>
    <w:rsid w:val="00DA432E"/>
    <w:rsid w:val="00DA4377"/>
    <w:rsid w:val="00DA4C30"/>
    <w:rsid w:val="00DA4E89"/>
    <w:rsid w:val="00DA578A"/>
    <w:rsid w:val="00DA73B4"/>
    <w:rsid w:val="00DA7772"/>
    <w:rsid w:val="00DB05E4"/>
    <w:rsid w:val="00DB11FC"/>
    <w:rsid w:val="00DB123D"/>
    <w:rsid w:val="00DB133A"/>
    <w:rsid w:val="00DB25A5"/>
    <w:rsid w:val="00DB2EE6"/>
    <w:rsid w:val="00DB326D"/>
    <w:rsid w:val="00DB3485"/>
    <w:rsid w:val="00DB3740"/>
    <w:rsid w:val="00DB37E1"/>
    <w:rsid w:val="00DB5253"/>
    <w:rsid w:val="00DB586B"/>
    <w:rsid w:val="00DB7966"/>
    <w:rsid w:val="00DC0C3C"/>
    <w:rsid w:val="00DC182B"/>
    <w:rsid w:val="00DC1A68"/>
    <w:rsid w:val="00DC1BA6"/>
    <w:rsid w:val="00DC2C97"/>
    <w:rsid w:val="00DC336E"/>
    <w:rsid w:val="00DC42E3"/>
    <w:rsid w:val="00DC531C"/>
    <w:rsid w:val="00DC54C2"/>
    <w:rsid w:val="00DC61DE"/>
    <w:rsid w:val="00DC7492"/>
    <w:rsid w:val="00DC7D27"/>
    <w:rsid w:val="00DD00CF"/>
    <w:rsid w:val="00DD0C2F"/>
    <w:rsid w:val="00DD2070"/>
    <w:rsid w:val="00DD3F8C"/>
    <w:rsid w:val="00DD3FDB"/>
    <w:rsid w:val="00DD4ED2"/>
    <w:rsid w:val="00DD686D"/>
    <w:rsid w:val="00DD6894"/>
    <w:rsid w:val="00DD6AE5"/>
    <w:rsid w:val="00DD70F7"/>
    <w:rsid w:val="00DE0536"/>
    <w:rsid w:val="00DE16C7"/>
    <w:rsid w:val="00DE190A"/>
    <w:rsid w:val="00DE1AC9"/>
    <w:rsid w:val="00DE4BD9"/>
    <w:rsid w:val="00DE4FEA"/>
    <w:rsid w:val="00DE5AB5"/>
    <w:rsid w:val="00DE654D"/>
    <w:rsid w:val="00DE6A0F"/>
    <w:rsid w:val="00DE78DD"/>
    <w:rsid w:val="00DE7FBA"/>
    <w:rsid w:val="00DF0A7C"/>
    <w:rsid w:val="00DF1993"/>
    <w:rsid w:val="00DF3979"/>
    <w:rsid w:val="00DF77C6"/>
    <w:rsid w:val="00DF7EE5"/>
    <w:rsid w:val="00E00487"/>
    <w:rsid w:val="00E004D4"/>
    <w:rsid w:val="00E00AF7"/>
    <w:rsid w:val="00E0113C"/>
    <w:rsid w:val="00E020FF"/>
    <w:rsid w:val="00E02BA2"/>
    <w:rsid w:val="00E02C27"/>
    <w:rsid w:val="00E02C7C"/>
    <w:rsid w:val="00E0310A"/>
    <w:rsid w:val="00E0326A"/>
    <w:rsid w:val="00E03F15"/>
    <w:rsid w:val="00E04521"/>
    <w:rsid w:val="00E04B01"/>
    <w:rsid w:val="00E04B46"/>
    <w:rsid w:val="00E04D0B"/>
    <w:rsid w:val="00E05429"/>
    <w:rsid w:val="00E05793"/>
    <w:rsid w:val="00E06986"/>
    <w:rsid w:val="00E06B8C"/>
    <w:rsid w:val="00E07F3E"/>
    <w:rsid w:val="00E1015C"/>
    <w:rsid w:val="00E10394"/>
    <w:rsid w:val="00E10864"/>
    <w:rsid w:val="00E10B11"/>
    <w:rsid w:val="00E11E76"/>
    <w:rsid w:val="00E11F50"/>
    <w:rsid w:val="00E12EE2"/>
    <w:rsid w:val="00E1457C"/>
    <w:rsid w:val="00E1527D"/>
    <w:rsid w:val="00E15A42"/>
    <w:rsid w:val="00E16B5E"/>
    <w:rsid w:val="00E203DC"/>
    <w:rsid w:val="00E206A8"/>
    <w:rsid w:val="00E20798"/>
    <w:rsid w:val="00E20FE3"/>
    <w:rsid w:val="00E211B3"/>
    <w:rsid w:val="00E2177F"/>
    <w:rsid w:val="00E22776"/>
    <w:rsid w:val="00E235C9"/>
    <w:rsid w:val="00E2380B"/>
    <w:rsid w:val="00E23E65"/>
    <w:rsid w:val="00E23FB3"/>
    <w:rsid w:val="00E241FB"/>
    <w:rsid w:val="00E24DE1"/>
    <w:rsid w:val="00E2542D"/>
    <w:rsid w:val="00E25881"/>
    <w:rsid w:val="00E25B2B"/>
    <w:rsid w:val="00E25B8C"/>
    <w:rsid w:val="00E264CC"/>
    <w:rsid w:val="00E30B32"/>
    <w:rsid w:val="00E31B94"/>
    <w:rsid w:val="00E330E0"/>
    <w:rsid w:val="00E3387F"/>
    <w:rsid w:val="00E33FBB"/>
    <w:rsid w:val="00E33FFF"/>
    <w:rsid w:val="00E34530"/>
    <w:rsid w:val="00E34D9C"/>
    <w:rsid w:val="00E35965"/>
    <w:rsid w:val="00E360DB"/>
    <w:rsid w:val="00E36BCE"/>
    <w:rsid w:val="00E37241"/>
    <w:rsid w:val="00E37370"/>
    <w:rsid w:val="00E37505"/>
    <w:rsid w:val="00E37AFC"/>
    <w:rsid w:val="00E40FE0"/>
    <w:rsid w:val="00E4129B"/>
    <w:rsid w:val="00E418E6"/>
    <w:rsid w:val="00E42140"/>
    <w:rsid w:val="00E42664"/>
    <w:rsid w:val="00E42DAD"/>
    <w:rsid w:val="00E437AF"/>
    <w:rsid w:val="00E43E19"/>
    <w:rsid w:val="00E44201"/>
    <w:rsid w:val="00E44DA3"/>
    <w:rsid w:val="00E454C6"/>
    <w:rsid w:val="00E45759"/>
    <w:rsid w:val="00E45B55"/>
    <w:rsid w:val="00E469CE"/>
    <w:rsid w:val="00E5091E"/>
    <w:rsid w:val="00E53816"/>
    <w:rsid w:val="00E5388B"/>
    <w:rsid w:val="00E53D22"/>
    <w:rsid w:val="00E547DA"/>
    <w:rsid w:val="00E548ED"/>
    <w:rsid w:val="00E55E11"/>
    <w:rsid w:val="00E56358"/>
    <w:rsid w:val="00E571DF"/>
    <w:rsid w:val="00E575B1"/>
    <w:rsid w:val="00E5771B"/>
    <w:rsid w:val="00E60E79"/>
    <w:rsid w:val="00E61239"/>
    <w:rsid w:val="00E6218B"/>
    <w:rsid w:val="00E622B5"/>
    <w:rsid w:val="00E626BA"/>
    <w:rsid w:val="00E63C2D"/>
    <w:rsid w:val="00E640F0"/>
    <w:rsid w:val="00E64FFE"/>
    <w:rsid w:val="00E65526"/>
    <w:rsid w:val="00E65E19"/>
    <w:rsid w:val="00E66774"/>
    <w:rsid w:val="00E67EE5"/>
    <w:rsid w:val="00E7023F"/>
    <w:rsid w:val="00E707CA"/>
    <w:rsid w:val="00E70FEA"/>
    <w:rsid w:val="00E719AD"/>
    <w:rsid w:val="00E720C8"/>
    <w:rsid w:val="00E7214F"/>
    <w:rsid w:val="00E723C0"/>
    <w:rsid w:val="00E72878"/>
    <w:rsid w:val="00E72E45"/>
    <w:rsid w:val="00E74277"/>
    <w:rsid w:val="00E74CB7"/>
    <w:rsid w:val="00E75C42"/>
    <w:rsid w:val="00E76A47"/>
    <w:rsid w:val="00E77AEB"/>
    <w:rsid w:val="00E804E8"/>
    <w:rsid w:val="00E80A86"/>
    <w:rsid w:val="00E8149B"/>
    <w:rsid w:val="00E827D6"/>
    <w:rsid w:val="00E8370C"/>
    <w:rsid w:val="00E840DA"/>
    <w:rsid w:val="00E8662A"/>
    <w:rsid w:val="00E87782"/>
    <w:rsid w:val="00E87CB7"/>
    <w:rsid w:val="00E9089E"/>
    <w:rsid w:val="00E90AFC"/>
    <w:rsid w:val="00E9132D"/>
    <w:rsid w:val="00E915F4"/>
    <w:rsid w:val="00E91811"/>
    <w:rsid w:val="00E91B2E"/>
    <w:rsid w:val="00E92776"/>
    <w:rsid w:val="00E9315A"/>
    <w:rsid w:val="00E957B3"/>
    <w:rsid w:val="00E96481"/>
    <w:rsid w:val="00E97B16"/>
    <w:rsid w:val="00E97FF7"/>
    <w:rsid w:val="00EA0981"/>
    <w:rsid w:val="00EA0A9A"/>
    <w:rsid w:val="00EA1269"/>
    <w:rsid w:val="00EA140B"/>
    <w:rsid w:val="00EA288B"/>
    <w:rsid w:val="00EA3368"/>
    <w:rsid w:val="00EA3634"/>
    <w:rsid w:val="00EA3A0F"/>
    <w:rsid w:val="00EA3DF2"/>
    <w:rsid w:val="00EA4E35"/>
    <w:rsid w:val="00EA4FD6"/>
    <w:rsid w:val="00EA5C93"/>
    <w:rsid w:val="00EA6223"/>
    <w:rsid w:val="00EB032D"/>
    <w:rsid w:val="00EB0B64"/>
    <w:rsid w:val="00EB1EAD"/>
    <w:rsid w:val="00EB69DA"/>
    <w:rsid w:val="00EB6CC3"/>
    <w:rsid w:val="00EB6DB3"/>
    <w:rsid w:val="00EC0363"/>
    <w:rsid w:val="00EC064D"/>
    <w:rsid w:val="00EC06A2"/>
    <w:rsid w:val="00EC071E"/>
    <w:rsid w:val="00EC0AEF"/>
    <w:rsid w:val="00EC120A"/>
    <w:rsid w:val="00EC2DBF"/>
    <w:rsid w:val="00EC39E1"/>
    <w:rsid w:val="00EC40B4"/>
    <w:rsid w:val="00EC4709"/>
    <w:rsid w:val="00EC4A9B"/>
    <w:rsid w:val="00EC4E93"/>
    <w:rsid w:val="00EC5D5E"/>
    <w:rsid w:val="00EC6263"/>
    <w:rsid w:val="00EC6B76"/>
    <w:rsid w:val="00EC7922"/>
    <w:rsid w:val="00ED0258"/>
    <w:rsid w:val="00ED1285"/>
    <w:rsid w:val="00ED18F2"/>
    <w:rsid w:val="00ED1AB9"/>
    <w:rsid w:val="00ED21C4"/>
    <w:rsid w:val="00ED367B"/>
    <w:rsid w:val="00ED3CA3"/>
    <w:rsid w:val="00ED3F57"/>
    <w:rsid w:val="00ED61DB"/>
    <w:rsid w:val="00ED6811"/>
    <w:rsid w:val="00ED7335"/>
    <w:rsid w:val="00ED7F1F"/>
    <w:rsid w:val="00EE0314"/>
    <w:rsid w:val="00EE2EAE"/>
    <w:rsid w:val="00EE3520"/>
    <w:rsid w:val="00EE4748"/>
    <w:rsid w:val="00EE4C69"/>
    <w:rsid w:val="00EE5305"/>
    <w:rsid w:val="00EE5665"/>
    <w:rsid w:val="00EE5CF7"/>
    <w:rsid w:val="00EE6B7B"/>
    <w:rsid w:val="00EF028E"/>
    <w:rsid w:val="00EF0335"/>
    <w:rsid w:val="00EF08CA"/>
    <w:rsid w:val="00EF12A1"/>
    <w:rsid w:val="00EF1414"/>
    <w:rsid w:val="00EF242C"/>
    <w:rsid w:val="00EF2B81"/>
    <w:rsid w:val="00EF2FC7"/>
    <w:rsid w:val="00EF3353"/>
    <w:rsid w:val="00EF3FBD"/>
    <w:rsid w:val="00EF4320"/>
    <w:rsid w:val="00EF478C"/>
    <w:rsid w:val="00EF4FF2"/>
    <w:rsid w:val="00EF521A"/>
    <w:rsid w:val="00EF5744"/>
    <w:rsid w:val="00EF5783"/>
    <w:rsid w:val="00EF59F2"/>
    <w:rsid w:val="00EF5C8D"/>
    <w:rsid w:val="00EF5D96"/>
    <w:rsid w:val="00EF7392"/>
    <w:rsid w:val="00EF76D3"/>
    <w:rsid w:val="00EF7BE4"/>
    <w:rsid w:val="00F000BC"/>
    <w:rsid w:val="00F01A26"/>
    <w:rsid w:val="00F02016"/>
    <w:rsid w:val="00F024F7"/>
    <w:rsid w:val="00F036AC"/>
    <w:rsid w:val="00F0595A"/>
    <w:rsid w:val="00F05B5A"/>
    <w:rsid w:val="00F05FCD"/>
    <w:rsid w:val="00F060CA"/>
    <w:rsid w:val="00F0759B"/>
    <w:rsid w:val="00F07B53"/>
    <w:rsid w:val="00F11BB5"/>
    <w:rsid w:val="00F12124"/>
    <w:rsid w:val="00F1327C"/>
    <w:rsid w:val="00F13854"/>
    <w:rsid w:val="00F144B1"/>
    <w:rsid w:val="00F14B5D"/>
    <w:rsid w:val="00F14DE2"/>
    <w:rsid w:val="00F150BE"/>
    <w:rsid w:val="00F1526F"/>
    <w:rsid w:val="00F15678"/>
    <w:rsid w:val="00F161FF"/>
    <w:rsid w:val="00F1644A"/>
    <w:rsid w:val="00F1696A"/>
    <w:rsid w:val="00F17647"/>
    <w:rsid w:val="00F17FBB"/>
    <w:rsid w:val="00F201AA"/>
    <w:rsid w:val="00F20F42"/>
    <w:rsid w:val="00F219B5"/>
    <w:rsid w:val="00F22CED"/>
    <w:rsid w:val="00F23643"/>
    <w:rsid w:val="00F2385F"/>
    <w:rsid w:val="00F24BBA"/>
    <w:rsid w:val="00F25387"/>
    <w:rsid w:val="00F26156"/>
    <w:rsid w:val="00F26F65"/>
    <w:rsid w:val="00F31727"/>
    <w:rsid w:val="00F31EFB"/>
    <w:rsid w:val="00F33DC2"/>
    <w:rsid w:val="00F33ECC"/>
    <w:rsid w:val="00F342A5"/>
    <w:rsid w:val="00F35389"/>
    <w:rsid w:val="00F35F8B"/>
    <w:rsid w:val="00F36A45"/>
    <w:rsid w:val="00F370FD"/>
    <w:rsid w:val="00F4069C"/>
    <w:rsid w:val="00F407C3"/>
    <w:rsid w:val="00F40BE2"/>
    <w:rsid w:val="00F41E7C"/>
    <w:rsid w:val="00F4292F"/>
    <w:rsid w:val="00F42CC8"/>
    <w:rsid w:val="00F4335D"/>
    <w:rsid w:val="00F43666"/>
    <w:rsid w:val="00F43B5B"/>
    <w:rsid w:val="00F43E47"/>
    <w:rsid w:val="00F44CDE"/>
    <w:rsid w:val="00F45A9C"/>
    <w:rsid w:val="00F45D41"/>
    <w:rsid w:val="00F45E71"/>
    <w:rsid w:val="00F4665D"/>
    <w:rsid w:val="00F46BEC"/>
    <w:rsid w:val="00F47AE2"/>
    <w:rsid w:val="00F50EF4"/>
    <w:rsid w:val="00F515B8"/>
    <w:rsid w:val="00F51888"/>
    <w:rsid w:val="00F52183"/>
    <w:rsid w:val="00F52672"/>
    <w:rsid w:val="00F53214"/>
    <w:rsid w:val="00F5435C"/>
    <w:rsid w:val="00F55F04"/>
    <w:rsid w:val="00F567CD"/>
    <w:rsid w:val="00F56F29"/>
    <w:rsid w:val="00F5720C"/>
    <w:rsid w:val="00F57569"/>
    <w:rsid w:val="00F609D0"/>
    <w:rsid w:val="00F6196A"/>
    <w:rsid w:val="00F65879"/>
    <w:rsid w:val="00F65A1B"/>
    <w:rsid w:val="00F66EB9"/>
    <w:rsid w:val="00F700B0"/>
    <w:rsid w:val="00F703BD"/>
    <w:rsid w:val="00F70750"/>
    <w:rsid w:val="00F70B80"/>
    <w:rsid w:val="00F70D3B"/>
    <w:rsid w:val="00F71C86"/>
    <w:rsid w:val="00F7232F"/>
    <w:rsid w:val="00F7258C"/>
    <w:rsid w:val="00F7276E"/>
    <w:rsid w:val="00F72D3E"/>
    <w:rsid w:val="00F7391C"/>
    <w:rsid w:val="00F73D02"/>
    <w:rsid w:val="00F74422"/>
    <w:rsid w:val="00F74936"/>
    <w:rsid w:val="00F74982"/>
    <w:rsid w:val="00F7517E"/>
    <w:rsid w:val="00F75DBB"/>
    <w:rsid w:val="00F76A46"/>
    <w:rsid w:val="00F7736D"/>
    <w:rsid w:val="00F775DE"/>
    <w:rsid w:val="00F77EC9"/>
    <w:rsid w:val="00F81B74"/>
    <w:rsid w:val="00F834B2"/>
    <w:rsid w:val="00F84269"/>
    <w:rsid w:val="00F85D74"/>
    <w:rsid w:val="00F86400"/>
    <w:rsid w:val="00F8679D"/>
    <w:rsid w:val="00F873D0"/>
    <w:rsid w:val="00F87A46"/>
    <w:rsid w:val="00F87C4B"/>
    <w:rsid w:val="00F9152A"/>
    <w:rsid w:val="00F93856"/>
    <w:rsid w:val="00F93955"/>
    <w:rsid w:val="00F95004"/>
    <w:rsid w:val="00F95C0D"/>
    <w:rsid w:val="00F95CF6"/>
    <w:rsid w:val="00F976B1"/>
    <w:rsid w:val="00F97EB1"/>
    <w:rsid w:val="00FA0242"/>
    <w:rsid w:val="00FA0257"/>
    <w:rsid w:val="00FA027B"/>
    <w:rsid w:val="00FA1207"/>
    <w:rsid w:val="00FA1E1D"/>
    <w:rsid w:val="00FA24B0"/>
    <w:rsid w:val="00FA3FA1"/>
    <w:rsid w:val="00FA4DAF"/>
    <w:rsid w:val="00FA4DD3"/>
    <w:rsid w:val="00FA4E21"/>
    <w:rsid w:val="00FA7CEB"/>
    <w:rsid w:val="00FB02F2"/>
    <w:rsid w:val="00FB0987"/>
    <w:rsid w:val="00FB209F"/>
    <w:rsid w:val="00FB2A7F"/>
    <w:rsid w:val="00FB2BD6"/>
    <w:rsid w:val="00FB4D5A"/>
    <w:rsid w:val="00FB5167"/>
    <w:rsid w:val="00FB53AC"/>
    <w:rsid w:val="00FB54E6"/>
    <w:rsid w:val="00FB6A92"/>
    <w:rsid w:val="00FB7148"/>
    <w:rsid w:val="00FB76CD"/>
    <w:rsid w:val="00FC0B14"/>
    <w:rsid w:val="00FC0B50"/>
    <w:rsid w:val="00FC0FA4"/>
    <w:rsid w:val="00FC27E9"/>
    <w:rsid w:val="00FC3243"/>
    <w:rsid w:val="00FC411D"/>
    <w:rsid w:val="00FC59EB"/>
    <w:rsid w:val="00FC610F"/>
    <w:rsid w:val="00FC68D6"/>
    <w:rsid w:val="00FD0987"/>
    <w:rsid w:val="00FD0DF3"/>
    <w:rsid w:val="00FD1641"/>
    <w:rsid w:val="00FD43B0"/>
    <w:rsid w:val="00FD45FC"/>
    <w:rsid w:val="00FD4B3E"/>
    <w:rsid w:val="00FD4D1B"/>
    <w:rsid w:val="00FD4FBE"/>
    <w:rsid w:val="00FD5292"/>
    <w:rsid w:val="00FD73C1"/>
    <w:rsid w:val="00FE0AAA"/>
    <w:rsid w:val="00FE0B01"/>
    <w:rsid w:val="00FE0B8D"/>
    <w:rsid w:val="00FE30D9"/>
    <w:rsid w:val="00FE4434"/>
    <w:rsid w:val="00FE4596"/>
    <w:rsid w:val="00FE55C4"/>
    <w:rsid w:val="00FE5B9B"/>
    <w:rsid w:val="00FE6340"/>
    <w:rsid w:val="00FE7791"/>
    <w:rsid w:val="00FF0565"/>
    <w:rsid w:val="00FF1A1E"/>
    <w:rsid w:val="00FF2130"/>
    <w:rsid w:val="00FF3372"/>
    <w:rsid w:val="00FF38C4"/>
    <w:rsid w:val="00FF4404"/>
    <w:rsid w:val="00FF526C"/>
    <w:rsid w:val="00FF53DC"/>
    <w:rsid w:val="00FF559D"/>
    <w:rsid w:val="00FF6468"/>
    <w:rsid w:val="00FF66A8"/>
    <w:rsid w:val="00FF6E53"/>
    <w:rsid w:val="00FF71D1"/>
    <w:rsid w:val="00FF7EE2"/>
    <w:rsid w:val="00FF7FB8"/>
    <w:rsid w:val="0121D06F"/>
    <w:rsid w:val="01EAA1C3"/>
    <w:rsid w:val="020C9FE9"/>
    <w:rsid w:val="033E7860"/>
    <w:rsid w:val="047A7E26"/>
    <w:rsid w:val="0517DD72"/>
    <w:rsid w:val="064F2B77"/>
    <w:rsid w:val="06C5C5CC"/>
    <w:rsid w:val="07E921A0"/>
    <w:rsid w:val="091BB425"/>
    <w:rsid w:val="0927B673"/>
    <w:rsid w:val="0A14FE57"/>
    <w:rsid w:val="0A94F2C5"/>
    <w:rsid w:val="0AEADAC1"/>
    <w:rsid w:val="0B808CBF"/>
    <w:rsid w:val="0C07BDC2"/>
    <w:rsid w:val="0CD592FB"/>
    <w:rsid w:val="0DFE3016"/>
    <w:rsid w:val="0E98A8EA"/>
    <w:rsid w:val="0EF1CFB2"/>
    <w:rsid w:val="0F26020C"/>
    <w:rsid w:val="0F5D6997"/>
    <w:rsid w:val="0F8D2014"/>
    <w:rsid w:val="10D3C0AC"/>
    <w:rsid w:val="124C487D"/>
    <w:rsid w:val="12A6F022"/>
    <w:rsid w:val="12CFC3B7"/>
    <w:rsid w:val="13C4283C"/>
    <w:rsid w:val="140CDFE8"/>
    <w:rsid w:val="14142AF8"/>
    <w:rsid w:val="14D1993A"/>
    <w:rsid w:val="164429B1"/>
    <w:rsid w:val="165DC11B"/>
    <w:rsid w:val="16D43AA1"/>
    <w:rsid w:val="17651237"/>
    <w:rsid w:val="17B886BD"/>
    <w:rsid w:val="1978CE46"/>
    <w:rsid w:val="1A1ECC32"/>
    <w:rsid w:val="1D6260D3"/>
    <w:rsid w:val="1D69513F"/>
    <w:rsid w:val="1D96105B"/>
    <w:rsid w:val="1DAA52DA"/>
    <w:rsid w:val="1E583B57"/>
    <w:rsid w:val="1E68B5F6"/>
    <w:rsid w:val="1E95B0E8"/>
    <w:rsid w:val="1FD783A1"/>
    <w:rsid w:val="201DF1EC"/>
    <w:rsid w:val="20BE56A2"/>
    <w:rsid w:val="216A7D08"/>
    <w:rsid w:val="216EB813"/>
    <w:rsid w:val="22A90C07"/>
    <w:rsid w:val="2497A661"/>
    <w:rsid w:val="259B84B3"/>
    <w:rsid w:val="269E1AE3"/>
    <w:rsid w:val="287A2BB3"/>
    <w:rsid w:val="2AA02D63"/>
    <w:rsid w:val="2AC253DC"/>
    <w:rsid w:val="2B776ACA"/>
    <w:rsid w:val="2D03F88F"/>
    <w:rsid w:val="2E2DFB05"/>
    <w:rsid w:val="2E67285C"/>
    <w:rsid w:val="2EF06C02"/>
    <w:rsid w:val="3020040A"/>
    <w:rsid w:val="3176B086"/>
    <w:rsid w:val="331D0200"/>
    <w:rsid w:val="3399078E"/>
    <w:rsid w:val="3598A56B"/>
    <w:rsid w:val="35EABB37"/>
    <w:rsid w:val="3613A2E6"/>
    <w:rsid w:val="37B5362D"/>
    <w:rsid w:val="37CA6C30"/>
    <w:rsid w:val="37EDC57F"/>
    <w:rsid w:val="39E62B90"/>
    <w:rsid w:val="3A3C74E9"/>
    <w:rsid w:val="3AC309E3"/>
    <w:rsid w:val="3C16C2B4"/>
    <w:rsid w:val="408EA053"/>
    <w:rsid w:val="4285F5CD"/>
    <w:rsid w:val="43E38064"/>
    <w:rsid w:val="4677935B"/>
    <w:rsid w:val="4703C085"/>
    <w:rsid w:val="473D4D22"/>
    <w:rsid w:val="4A7019BE"/>
    <w:rsid w:val="4AB88B59"/>
    <w:rsid w:val="4B003368"/>
    <w:rsid w:val="4F0005A1"/>
    <w:rsid w:val="512D3CB4"/>
    <w:rsid w:val="51A5C747"/>
    <w:rsid w:val="5575E29A"/>
    <w:rsid w:val="559C3E2B"/>
    <w:rsid w:val="56353812"/>
    <w:rsid w:val="59B0471F"/>
    <w:rsid w:val="59CD456D"/>
    <w:rsid w:val="59F0B467"/>
    <w:rsid w:val="5A43B61A"/>
    <w:rsid w:val="5C885E8F"/>
    <w:rsid w:val="5DC20A27"/>
    <w:rsid w:val="5EBE52D1"/>
    <w:rsid w:val="5F448638"/>
    <w:rsid w:val="606365B9"/>
    <w:rsid w:val="6081960A"/>
    <w:rsid w:val="619B612B"/>
    <w:rsid w:val="619EA465"/>
    <w:rsid w:val="61C79A85"/>
    <w:rsid w:val="6248FE3F"/>
    <w:rsid w:val="62EE1720"/>
    <w:rsid w:val="632C7701"/>
    <w:rsid w:val="64681B89"/>
    <w:rsid w:val="656DBFA7"/>
    <w:rsid w:val="65789E39"/>
    <w:rsid w:val="682A1D0E"/>
    <w:rsid w:val="6955298A"/>
    <w:rsid w:val="69F24636"/>
    <w:rsid w:val="6CBEDCB4"/>
    <w:rsid w:val="6DAADB7A"/>
    <w:rsid w:val="6DC1080D"/>
    <w:rsid w:val="6E9995C2"/>
    <w:rsid w:val="7045DF71"/>
    <w:rsid w:val="720B5054"/>
    <w:rsid w:val="730C6A56"/>
    <w:rsid w:val="74003B02"/>
    <w:rsid w:val="7436EE2E"/>
    <w:rsid w:val="75420E17"/>
    <w:rsid w:val="7626F80C"/>
    <w:rsid w:val="766C2792"/>
    <w:rsid w:val="7687342F"/>
    <w:rsid w:val="786CB0F8"/>
    <w:rsid w:val="788E65B7"/>
    <w:rsid w:val="7C336666"/>
    <w:rsid w:val="7D2EB93C"/>
    <w:rsid w:val="7E6AD870"/>
    <w:rsid w:val="7F8E2F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905DB"/>
  <w15:docId w15:val="{E93FB622-9AD4-4D3C-AE49-1E3E95AF5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qFormat="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1" w:qFormat="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iPriority="1" w:unhideWhenUsed="1" w:qFormat="1"/>
    <w:lsdException w:name="List Bullet 5" w:semiHidden="1" w:unhideWhenUsed="1"/>
    <w:lsdException w:name="List Number 2" w:semiHidden="1" w:uiPriority="99" w:unhideWhenUsed="1" w:qFormat="1"/>
    <w:lsdException w:name="List Number 3" w:semiHidden="1" w:uiPriority="99" w:unhideWhenUsed="1" w:qFormat="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uiPriority="99"/>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3" w:unhideWhenUsed="1" w:qFormat="1"/>
    <w:lsdException w:name="Hyperlink" w:semiHidden="1" w:uiPriority="99" w:unhideWhenUsed="1" w:qFormat="1"/>
    <w:lsdException w:name="FollowedHyperlink" w:semiHidden="1" w:uiPriority="99"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99"/>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99"/>
    <w:lsdException w:name="Medium Shading 1 Accent 3" w:uiPriority="2"/>
    <w:lsdException w:name="Medium Shading 2 Accent 3" w:uiPriority="2"/>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2"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lang w:eastAsia="en-US"/>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pPr>
      <w:keepNext/>
      <w:widowControl w:val="0"/>
      <w:numPr>
        <w:numId w:val="37"/>
      </w:numPr>
      <w:spacing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qFormat/>
    <w:pPr>
      <w:widowControl w:val="0"/>
      <w:numPr>
        <w:ilvl w:val="1"/>
        <w:numId w:val="37"/>
      </w:numPr>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qFormat/>
    <w:pPr>
      <w:widowControl w:val="0"/>
      <w:numPr>
        <w:ilvl w:val="2"/>
        <w:numId w:val="37"/>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Heading 4 Char"/>
    <w:basedOn w:val="Body1"/>
    <w:next w:val="Body4"/>
    <w:uiPriority w:val="9"/>
    <w:qFormat/>
    <w:pPr>
      <w:widowControl w:val="0"/>
      <w:numPr>
        <w:ilvl w:val="3"/>
        <w:numId w:val="3"/>
      </w:numPr>
      <w:outlineLvl w:val="3"/>
    </w:pPr>
    <w:rPr>
      <w:bCs/>
      <w:szCs w:val="28"/>
    </w:rPr>
  </w:style>
  <w:style w:type="paragraph" w:styleId="Heading5">
    <w:name w:val="heading 5"/>
    <w:aliases w:val="level 5,level5,Level 3 - i,h5"/>
    <w:basedOn w:val="Body1"/>
    <w:next w:val="Body5"/>
    <w:link w:val="Heading5Char"/>
    <w:uiPriority w:val="9"/>
    <w:qFormat/>
    <w:pPr>
      <w:widowControl w:val="0"/>
      <w:numPr>
        <w:ilvl w:val="4"/>
        <w:numId w:val="3"/>
      </w:numPr>
      <w:outlineLvl w:val="4"/>
    </w:pPr>
    <w:rPr>
      <w:bCs/>
      <w:iCs/>
      <w:szCs w:val="26"/>
    </w:rPr>
  </w:style>
  <w:style w:type="paragraph" w:styleId="Heading6">
    <w:name w:val="heading 6"/>
    <w:aliases w:val="level 6,level6,Legal Level 1.,h6"/>
    <w:basedOn w:val="Appendixlevel1"/>
    <w:next w:val="Body1"/>
    <w:link w:val="Heading6Char"/>
    <w:uiPriority w:val="9"/>
    <w:qFormat/>
    <w:pPr>
      <w:ind w:left="928"/>
      <w:outlineLvl w:val="5"/>
    </w:pPr>
    <w:rPr>
      <w:bCs w:val="0"/>
      <w:szCs w:val="22"/>
    </w:rPr>
  </w:style>
  <w:style w:type="paragraph" w:styleId="Heading7">
    <w:name w:val="heading 7"/>
    <w:aliases w:val="level1-noHeading,level1noheading,h7"/>
    <w:basedOn w:val="Appendixlevel2"/>
    <w:next w:val="Body2"/>
    <w:link w:val="Heading7Char"/>
    <w:uiPriority w:val="9"/>
    <w:qFormat/>
    <w:pPr>
      <w:ind w:left="785" w:hanging="360"/>
      <w:outlineLvl w:val="6"/>
    </w:pPr>
  </w:style>
  <w:style w:type="paragraph" w:styleId="Heading8">
    <w:name w:val="heading 8"/>
    <w:aliases w:val="level2(a),h8"/>
    <w:basedOn w:val="Body1"/>
    <w:next w:val="Body8"/>
    <w:link w:val="Heading8Char"/>
    <w:uiPriority w:val="9"/>
    <w:qFormat/>
    <w:pPr>
      <w:widowControl w:val="0"/>
      <w:numPr>
        <w:ilvl w:val="7"/>
        <w:numId w:val="3"/>
      </w:numPr>
      <w:tabs>
        <w:tab w:val="left" w:pos="4253"/>
      </w:tabs>
      <w:outlineLvl w:val="7"/>
    </w:pPr>
    <w:rPr>
      <w:iCs/>
    </w:rPr>
  </w:style>
  <w:style w:type="paragraph" w:styleId="Heading9">
    <w:name w:val="heading 9"/>
    <w:aliases w:val="level3(i),h9"/>
    <w:basedOn w:val="Body1"/>
    <w:next w:val="Body9"/>
    <w:link w:val="Heading9Char"/>
    <w:uiPriority w:val="9"/>
    <w:qFormat/>
    <w:pPr>
      <w:widowControl w:val="0"/>
      <w:numPr>
        <w:ilvl w:val="8"/>
        <w:numId w:val="3"/>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pPr>
      <w:tabs>
        <w:tab w:val="left" w:pos="1134"/>
        <w:tab w:val="right" w:leader="dot" w:pos="8280"/>
      </w:tabs>
    </w:pPr>
    <w:rPr>
      <w:noProof/>
    </w:rPr>
  </w:style>
  <w:style w:type="paragraph" w:styleId="BlockText">
    <w:name w:val="Block Text"/>
    <w:basedOn w:val="Normal"/>
    <w:uiPriority w:val="13"/>
    <w:qFormat/>
    <w:pPr>
      <w:spacing w:after="120"/>
      <w:ind w:left="1440" w:right="1440"/>
    </w:pPr>
  </w:style>
  <w:style w:type="paragraph" w:customStyle="1" w:styleId="Body2">
    <w:name w:val="Body2"/>
    <w:basedOn w:val="Body1"/>
    <w:link w:val="Body2Char"/>
  </w:style>
  <w:style w:type="paragraph" w:customStyle="1" w:styleId="Body1">
    <w:name w:val="Body1"/>
    <w:basedOn w:val="BodyText"/>
    <w:pPr>
      <w:spacing w:line="360" w:lineRule="auto"/>
      <w:ind w:left="709"/>
    </w:pPr>
  </w:style>
  <w:style w:type="paragraph" w:customStyle="1" w:styleId="Body3">
    <w:name w:val="Body3"/>
    <w:basedOn w:val="Body1"/>
    <w:pPr>
      <w:ind w:left="1412"/>
    </w:pPr>
  </w:style>
  <w:style w:type="paragraph" w:customStyle="1" w:styleId="Body4">
    <w:name w:val="Body4"/>
    <w:basedOn w:val="Body1"/>
    <w:pPr>
      <w:ind w:left="2132"/>
    </w:pPr>
  </w:style>
  <w:style w:type="paragraph" w:customStyle="1" w:styleId="Body5">
    <w:name w:val="Body5"/>
    <w:basedOn w:val="Body1"/>
    <w:pPr>
      <w:ind w:left="2835"/>
    </w:pPr>
  </w:style>
  <w:style w:type="paragraph" w:customStyle="1" w:styleId="Body6">
    <w:name w:val="Body6"/>
    <w:basedOn w:val="Body1"/>
    <w:pPr>
      <w:ind w:left="3544"/>
    </w:pPr>
  </w:style>
  <w:style w:type="paragraph" w:styleId="TOC1">
    <w:name w:val="toc 1"/>
    <w:basedOn w:val="Normal"/>
    <w:next w:val="Normal"/>
    <w:autoRedefine/>
    <w:uiPriority w:val="39"/>
    <w:qFormat/>
    <w:pPr>
      <w:spacing w:before="240" w:after="120"/>
      <w:jc w:val="left"/>
    </w:pPr>
    <w:rPr>
      <w:rFonts w:asciiTheme="minorHAnsi" w:hAnsiTheme="minorHAnsi" w:cstheme="minorHAnsi"/>
      <w:b/>
      <w:bCs/>
      <w:sz w:val="20"/>
      <w:szCs w:val="20"/>
    </w:rPr>
  </w:style>
  <w:style w:type="paragraph" w:styleId="Header">
    <w:name w:val="header"/>
    <w:basedOn w:val="Normal"/>
    <w:link w:val="HeaderChar"/>
    <w:uiPriority w:val="99"/>
    <w:qFormat/>
    <w:pPr>
      <w:keepNext/>
      <w:widowControl w:val="0"/>
      <w:tabs>
        <w:tab w:val="center" w:pos="4153"/>
        <w:tab w:val="right" w:pos="8306"/>
      </w:tabs>
      <w:spacing w:after="240" w:line="360" w:lineRule="auto"/>
      <w:ind w:left="709"/>
    </w:pPr>
    <w:rPr>
      <w:b/>
    </w:rPr>
  </w:style>
  <w:style w:type="paragraph" w:styleId="Footer">
    <w:name w:val="footer"/>
    <w:basedOn w:val="Normal"/>
    <w:link w:val="FooterChar"/>
    <w:uiPriority w:val="99"/>
    <w:qFormat/>
    <w:pPr>
      <w:tabs>
        <w:tab w:val="center" w:pos="4153"/>
        <w:tab w:val="right" w:pos="8306"/>
      </w:tabs>
    </w:pPr>
  </w:style>
  <w:style w:type="character" w:styleId="Strong">
    <w:name w:val="Strong"/>
    <w:uiPriority w:val="2"/>
    <w:qFormat/>
    <w:rPr>
      <w:b/>
      <w:bCs/>
    </w:rPr>
  </w:style>
  <w:style w:type="paragraph" w:customStyle="1" w:styleId="Schedule1">
    <w:name w:val="Schedule 1"/>
    <w:basedOn w:val="Normal"/>
    <w:next w:val="Normal"/>
    <w:pPr>
      <w:spacing w:after="220"/>
      <w:jc w:val="center"/>
    </w:pPr>
    <w:rPr>
      <w:b/>
      <w:u w:val="single"/>
    </w:rPr>
  </w:style>
  <w:style w:type="paragraph" w:customStyle="1" w:styleId="Schedule2">
    <w:name w:val="Schedule 2"/>
    <w:basedOn w:val="Normal"/>
    <w:next w:val="BodyText"/>
    <w:pPr>
      <w:spacing w:after="220"/>
      <w:jc w:val="center"/>
    </w:pPr>
    <w:rPr>
      <w:u w:val="single"/>
    </w:rPr>
  </w:style>
  <w:style w:type="paragraph" w:customStyle="1" w:styleId="Body7">
    <w:name w:val="Body7"/>
    <w:basedOn w:val="Body1"/>
    <w:pPr>
      <w:ind w:left="3544"/>
    </w:pPr>
  </w:style>
  <w:style w:type="paragraph" w:styleId="Salutation">
    <w:name w:val="Salutation"/>
    <w:basedOn w:val="Normal"/>
    <w:next w:val="Normal"/>
    <w:semiHidden/>
  </w:style>
  <w:style w:type="paragraph" w:styleId="Caption">
    <w:name w:val="caption"/>
    <w:basedOn w:val="Normal"/>
    <w:next w:val="Normal"/>
    <w:qFormat/>
    <w:pPr>
      <w:jc w:val="center"/>
    </w:pPr>
    <w:rPr>
      <w:b/>
      <w:bCs/>
    </w:rPr>
  </w:style>
  <w:style w:type="paragraph" w:customStyle="1" w:styleId="Body8">
    <w:name w:val="Body8"/>
    <w:basedOn w:val="Body1"/>
    <w:pPr>
      <w:ind w:left="4247"/>
    </w:pPr>
  </w:style>
  <w:style w:type="character" w:styleId="Hyperlink">
    <w:name w:val="Hyperlink"/>
    <w:uiPriority w:val="99"/>
    <w:qFormat/>
    <w:rPr>
      <w:color w:val="0000FF"/>
      <w:u w:val="single"/>
    </w:rPr>
  </w:style>
  <w:style w:type="paragraph" w:styleId="TOC2">
    <w:name w:val="toc 2"/>
    <w:basedOn w:val="Normal"/>
    <w:next w:val="Normal"/>
    <w:autoRedefine/>
    <w:uiPriority w:val="39"/>
    <w:qFormat/>
    <w:pPr>
      <w:spacing w:before="120"/>
      <w:ind w:left="240"/>
      <w:jc w:val="left"/>
    </w:pPr>
    <w:rPr>
      <w:rFonts w:asciiTheme="minorHAnsi" w:hAnsiTheme="minorHAnsi" w:cstheme="minorHAnsi"/>
      <w:i/>
      <w:iCs/>
      <w:sz w:val="20"/>
      <w:szCs w:val="20"/>
    </w:rPr>
  </w:style>
  <w:style w:type="paragraph" w:customStyle="1" w:styleId="Body9">
    <w:name w:val="Body9"/>
    <w:basedOn w:val="Body1"/>
    <w:pPr>
      <w:ind w:left="4967"/>
    </w:pPr>
  </w:style>
  <w:style w:type="character" w:styleId="PageNumber">
    <w:name w:val="page number"/>
    <w:basedOn w:val="DefaultParagraphFont"/>
    <w:uiPriority w:val="99"/>
    <w:qFormat/>
  </w:style>
  <w:style w:type="paragraph" w:customStyle="1" w:styleId="Subject">
    <w:name w:val="Subject"/>
    <w:basedOn w:val="Normal"/>
    <w:next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style>
  <w:style w:type="paragraph" w:styleId="BodyText">
    <w:name w:val="Body Text"/>
    <w:aliases w:val="B&amp;B Body Text,bt,bt wide,jfp_standard,heading3,Body Text - Level 2,body text,body,b"/>
    <w:basedOn w:val="Normal"/>
    <w:link w:val="BodyTextChar"/>
    <w:uiPriority w:val="99"/>
    <w:qFormat/>
    <w:pPr>
      <w:spacing w:after="220"/>
    </w:pPr>
  </w:style>
  <w:style w:type="paragraph" w:customStyle="1" w:styleId="CorrespondenceDeliveryInfo">
    <w:name w:val="CorrespondenceDeliveryInfo"/>
    <w:basedOn w:val="CorrespondenceAddress"/>
    <w:next w:val="CorrespondenceAddress"/>
    <w:rPr>
      <w:b/>
    </w:rPr>
  </w:style>
  <w:style w:type="paragraph" w:customStyle="1" w:styleId="CorrespondenceHeader">
    <w:name w:val="CorrespondenceHeader"/>
    <w:basedOn w:val="BodyText"/>
    <w:rPr>
      <w:sz w:val="16"/>
    </w:rPr>
  </w:style>
  <w:style w:type="paragraph" w:customStyle="1" w:styleId="CorrespondenceRefs">
    <w:name w:val="CorrespondenceRefs"/>
    <w:basedOn w:val="Normal"/>
    <w:rPr>
      <w:sz w:val="20"/>
    </w:rPr>
  </w:style>
  <w:style w:type="paragraph" w:customStyle="1" w:styleId="CorrespondenceSubject">
    <w:name w:val="CorrespondenceSubject"/>
    <w:basedOn w:val="Normal"/>
    <w:next w:val="Normal"/>
    <w:rPr>
      <w:b/>
    </w:rPr>
  </w:style>
  <w:style w:type="character" w:styleId="EndnoteReference">
    <w:name w:val="endnote reference"/>
    <w:uiPriority w:val="99"/>
    <w:rPr>
      <w:vertAlign w:val="superscript"/>
    </w:rPr>
  </w:style>
  <w:style w:type="paragraph" w:styleId="EndnoteText">
    <w:name w:val="endnote text"/>
    <w:basedOn w:val="Normal"/>
    <w:link w:val="EndnoteTextChar"/>
    <w:uiPriority w:val="99"/>
    <w:rPr>
      <w:szCs w:val="20"/>
    </w:rPr>
  </w:style>
  <w:style w:type="paragraph" w:styleId="FootnoteText">
    <w:name w:val="footnote text"/>
    <w:basedOn w:val="Normal"/>
    <w:link w:val="FootnoteTextChar"/>
    <w:uiPriority w:val="99"/>
    <w:rPr>
      <w:sz w:val="18"/>
      <w:szCs w:val="20"/>
    </w:rPr>
  </w:style>
  <w:style w:type="paragraph" w:customStyle="1" w:styleId="Sig17">
    <w:name w:val="Sig17"/>
    <w:semiHidden/>
    <w:rPr>
      <w:sz w:val="24"/>
      <w:szCs w:val="24"/>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link w:val="Heading1"/>
    <w:uiPriority w:val="9"/>
    <w:locked/>
    <w:rPr>
      <w:rFonts w:ascii="Times New Roman Bold" w:hAnsi="Times New Roman Bold" w:cs="Arial"/>
      <w:b/>
      <w:bCs/>
      <w:kern w:val="32"/>
      <w:sz w:val="24"/>
      <w:szCs w:val="32"/>
      <w:u w:val="single"/>
      <w:lang w:eastAsia="en-US"/>
    </w:rPr>
  </w:style>
  <w:style w:type="character" w:customStyle="1" w:styleId="Heading2Char">
    <w:name w:val="Heading 2 Char"/>
    <w:aliases w:val="level 2 Char,level2 Char"/>
    <w:link w:val="Heading2"/>
    <w:locked/>
    <w:rPr>
      <w:rFonts w:cs="Arial"/>
      <w:bCs/>
      <w:iCs/>
      <w:sz w:val="24"/>
      <w:szCs w:val="28"/>
      <w:lang w:eastAsia="en-US"/>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link w:val="Heading3"/>
    <w:uiPriority w:val="9"/>
    <w:locked/>
    <w:rPr>
      <w:rFonts w:cs="Arial"/>
      <w:bCs/>
      <w:sz w:val="24"/>
      <w:szCs w:val="26"/>
      <w:lang w:eastAsia="en-US"/>
    </w:rPr>
  </w:style>
  <w:style w:type="character" w:customStyle="1" w:styleId="BodyTextChar">
    <w:name w:val="Body Text Char"/>
    <w:aliases w:val="B&amp;B Body Text Char,bt Char,bt wide Char,jfp_standard Char,heading3 Char,Body Text - Level 2 Char,body text Char,body Char,b Char"/>
    <w:link w:val="BodyText"/>
    <w:uiPriority w:val="99"/>
    <w:locked/>
    <w:rPr>
      <w:rFonts w:ascii="Trebuchet MS" w:hAnsi="Trebuchet MS"/>
      <w:sz w:val="22"/>
      <w:szCs w:val="24"/>
      <w:lang w:val="en-GB" w:eastAsia="en-US" w:bidi="ar-SA"/>
    </w:rPr>
  </w:style>
  <w:style w:type="paragraph" w:customStyle="1" w:styleId="Defi">
    <w:name w:val="Def (i)"/>
    <w:basedOn w:val="BodyText"/>
    <w:pPr>
      <w:tabs>
        <w:tab w:val="num" w:pos="567"/>
        <w:tab w:val="left" w:pos="612"/>
      </w:tabs>
      <w:spacing w:before="120" w:after="120" w:line="360" w:lineRule="auto"/>
      <w:ind w:left="567" w:hanging="567"/>
    </w:pPr>
  </w:style>
  <w:style w:type="paragraph" w:customStyle="1" w:styleId="BodyTextdef">
    <w:name w:val="Body Text def"/>
    <w:basedOn w:val="BodyText"/>
    <w:pPr>
      <w:tabs>
        <w:tab w:val="left" w:pos="950"/>
      </w:tabs>
      <w:spacing w:before="120" w:after="120" w:line="360" w:lineRule="auto"/>
    </w:pPr>
  </w:style>
  <w:style w:type="paragraph" w:customStyle="1" w:styleId="StyleAfter18ptLinespacing15lines">
    <w:name w:val="Style After:  18 pt Line spacing:  1.5 lines"/>
    <w:basedOn w:val="Normal"/>
    <w:autoRedefine/>
    <w:pPr>
      <w:spacing w:after="240" w:line="360" w:lineRule="auto"/>
      <w:jc w:val="left"/>
    </w:pPr>
    <w:rPr>
      <w:b/>
      <w:szCs w:val="20"/>
    </w:rPr>
  </w:style>
  <w:style w:type="character" w:customStyle="1" w:styleId="Body2Char">
    <w:name w:val="Body2 Char"/>
    <w:link w:val="Body2"/>
    <w:locked/>
    <w:rPr>
      <w:rFonts w:ascii="Trebuchet MS" w:hAnsi="Trebuchet MS"/>
      <w:sz w:val="22"/>
      <w:szCs w:val="24"/>
      <w:lang w:val="en-GB" w:eastAsia="en-US" w:bidi="ar-SA"/>
    </w:rPr>
  </w:style>
  <w:style w:type="paragraph" w:customStyle="1" w:styleId="Default">
    <w:name w:val="Default"/>
    <w:pPr>
      <w:autoSpaceDE w:val="0"/>
      <w:autoSpaceDN w:val="0"/>
      <w:adjustRightInd w:val="0"/>
    </w:pPr>
    <w:rPr>
      <w:color w:val="000000"/>
      <w:sz w:val="24"/>
      <w:szCs w:val="24"/>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Pr>
      <w:sz w:val="24"/>
      <w:szCs w:val="24"/>
      <w:lang w:val="en-GB" w:eastAsia="en-US" w:bidi="ar-SA"/>
    </w:rPr>
  </w:style>
  <w:style w:type="character" w:customStyle="1" w:styleId="HeaderChar">
    <w:name w:val="Header Char"/>
    <w:link w:val="Header"/>
    <w:uiPriority w:val="99"/>
    <w:rPr>
      <w:b/>
      <w:sz w:val="24"/>
      <w:szCs w:val="24"/>
      <w:lang w:eastAsia="en-US"/>
    </w:rPr>
  </w:style>
  <w:style w:type="numbering" w:customStyle="1" w:styleId="Style2">
    <w:name w:val="Style2"/>
    <w:uiPriority w:val="99"/>
    <w:pPr>
      <w:numPr>
        <w:numId w:val="1"/>
      </w:numPr>
    </w:p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lang w:eastAsia="en-US"/>
    </w:rPr>
  </w:style>
  <w:style w:type="paragraph" w:styleId="ListParagraph">
    <w:name w:val="List Paragraph"/>
    <w:aliases w:val="List para,Dot pt,No Spacing1,List Paragraph Char Char Char,Indicator Text,Numbered Para 1,List Paragraph1,Bullet 1,Bullet Points,MAIN CONTENT,List Paragraph12,List Para,SEC Bullet Point,Bullet 1CxSpLast,OBC Bullet,F5 List Paragraph"/>
    <w:basedOn w:val="Normal"/>
    <w:link w:val="ListParagraphChar"/>
    <w:uiPriority w:val="34"/>
    <w:qFormat/>
    <w:pPr>
      <w:ind w:left="720"/>
      <w:jc w:val="left"/>
    </w:pPr>
    <w:rPr>
      <w:rFonts w:ascii="Calibri" w:eastAsia="Calibri" w:hAnsi="Calibri" w:cs="Calibri"/>
      <w:sz w:val="22"/>
      <w:szCs w:val="22"/>
    </w:rPr>
  </w:style>
  <w:style w:type="character" w:customStyle="1" w:styleId="FootnoteTextChar">
    <w:name w:val="Footnote Text Char"/>
    <w:link w:val="FootnoteText"/>
    <w:uiPriority w:val="99"/>
    <w:locked/>
    <w:rPr>
      <w:sz w:val="18"/>
      <w:lang w:eastAsia="en-US"/>
    </w:rPr>
  </w:style>
  <w:style w:type="paragraph" w:customStyle="1" w:styleId="Heading4a">
    <w:name w:val="Heading 4a"/>
    <w:basedOn w:val="Heading3"/>
    <w:uiPriority w:val="99"/>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lang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lang w:eastAsia="en-US"/>
    </w:rPr>
  </w:style>
  <w:style w:type="paragraph" w:styleId="Revision">
    <w:name w:val="Revision"/>
    <w:hidden/>
    <w:uiPriority w:val="99"/>
    <w:semiHidden/>
    <w:rPr>
      <w:sz w:val="24"/>
      <w:szCs w:val="24"/>
      <w:lang w:eastAsia="en-US"/>
    </w:rPr>
  </w:style>
  <w:style w:type="paragraph" w:customStyle="1" w:styleId="TableText-Centre">
    <w:name w:val="Table Text - Centre"/>
    <w:basedOn w:val="Normal"/>
    <w:link w:val="TableText-CentreChar"/>
    <w:qFormat/>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Pr>
      <w:rFonts w:ascii="Arial" w:hAnsi="Arial" w:cs="Arial"/>
      <w:sz w:val="16"/>
      <w:szCs w:val="18"/>
      <w:lang w:eastAsia="en-US"/>
    </w:rPr>
  </w:style>
  <w:style w:type="table" w:customStyle="1" w:styleId="TableGrid1">
    <w:name w:val="Table Grid1"/>
    <w:basedOn w:val="TableNormal"/>
    <w:next w:val="TableGri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pPr>
      <w:numPr>
        <w:ilvl w:val="2"/>
        <w:numId w:val="2"/>
      </w:numPr>
      <w:tabs>
        <w:tab w:val="clear" w:pos="1417"/>
        <w:tab w:val="num" w:pos="1560"/>
      </w:tabs>
      <w:autoSpaceDE w:val="0"/>
      <w:autoSpaceDN w:val="0"/>
      <w:adjustRightInd w:val="0"/>
      <w:spacing w:before="120" w:after="120"/>
      <w:ind w:left="1559" w:hanging="425"/>
      <w:contextualSpacing/>
    </w:pPr>
    <w:rPr>
      <w:rFonts w:ascii="Arial" w:hAnsi="Arial" w:cs="Arial"/>
      <w:color w:val="000000"/>
      <w:szCs w:val="24"/>
      <w:lang w:eastAsia="en-GB"/>
    </w:rPr>
  </w:style>
  <w:style w:type="paragraph" w:customStyle="1" w:styleId="Inset">
    <w:name w:val="Inset"/>
    <w:basedOn w:val="Normal"/>
    <w:next w:val="Normal"/>
    <w:qFormat/>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Pr>
      <w:rFonts w:ascii="Calibri" w:eastAsia="Calibri" w:hAnsi="Calibri" w:cs="Calibri"/>
      <w:sz w:val="22"/>
      <w:szCs w:val="22"/>
      <w:lang w:eastAsia="en-US"/>
    </w:rPr>
  </w:style>
  <w:style w:type="character" w:styleId="FollowedHyperlink">
    <w:name w:val="FollowedHyperlink"/>
    <w:basedOn w:val="DefaultParagraphFont"/>
    <w:uiPriority w:val="99"/>
    <w:rPr>
      <w:color w:val="800080" w:themeColor="followedHyperlink"/>
      <w:u w:val="single"/>
    </w:rPr>
  </w:style>
  <w:style w:type="paragraph" w:customStyle="1" w:styleId="Tabletext">
    <w:name w:val="Table text"/>
    <w:basedOn w:val="Normal"/>
    <w:qFormat/>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pPr>
      <w:jc w:val="left"/>
    </w:pPr>
    <w:rPr>
      <w:rFonts w:ascii="Arial" w:eastAsiaTheme="minorHAnsi" w:hAnsi="Arial" w:cs="Arial"/>
      <w:sz w:val="20"/>
      <w:szCs w:val="20"/>
    </w:rPr>
  </w:style>
  <w:style w:type="character" w:styleId="FootnoteReference">
    <w:name w:val="footnote reference"/>
    <w:basedOn w:val="DefaultParagraphFont"/>
    <w:uiPriority w:val="99"/>
    <w:rPr>
      <w:vertAlign w:val="superscript"/>
    </w:rPr>
  </w:style>
  <w:style w:type="character" w:customStyle="1" w:styleId="FooterChar">
    <w:name w:val="Footer Char"/>
    <w:basedOn w:val="DefaultParagraphFont"/>
    <w:link w:val="Footer"/>
    <w:uiPriority w:val="99"/>
    <w:rPr>
      <w:sz w:val="24"/>
      <w:szCs w:val="24"/>
      <w:lang w:eastAsia="en-US"/>
    </w:rPr>
  </w:style>
  <w:style w:type="paragraph" w:styleId="ListNumber">
    <w:name w:val="List Number"/>
    <w:basedOn w:val="Normal"/>
    <w:uiPriority w:val="99"/>
    <w:unhideWhenUsed/>
    <w:qFormat/>
    <w:pPr>
      <w:numPr>
        <w:numId w:val="5"/>
      </w:numPr>
      <w:contextualSpacing/>
    </w:pPr>
  </w:style>
  <w:style w:type="paragraph" w:styleId="ListNumber2">
    <w:name w:val="List Number 2"/>
    <w:basedOn w:val="Normal"/>
    <w:uiPriority w:val="99"/>
    <w:unhideWhenUsed/>
    <w:qFormat/>
    <w:pPr>
      <w:numPr>
        <w:numId w:val="6"/>
      </w:numPr>
      <w:contextualSpacing/>
    </w:pPr>
  </w:style>
  <w:style w:type="paragraph" w:styleId="ListNumber3">
    <w:name w:val="List Number 3"/>
    <w:basedOn w:val="Normal"/>
    <w:uiPriority w:val="99"/>
    <w:unhideWhenUsed/>
    <w:qFormat/>
    <w:pPr>
      <w:numPr>
        <w:numId w:val="7"/>
      </w:numPr>
      <w:contextualSpacing/>
    </w:pPr>
  </w:style>
  <w:style w:type="paragraph" w:styleId="ListNumber4">
    <w:name w:val="List Number 4"/>
    <w:basedOn w:val="Normal"/>
    <w:uiPriority w:val="99"/>
    <w:unhideWhenUsed/>
    <w:pPr>
      <w:numPr>
        <w:numId w:val="8"/>
      </w:numPr>
      <w:contextualSpacing/>
    </w:pPr>
  </w:style>
  <w:style w:type="paragraph" w:styleId="ListNumber5">
    <w:name w:val="List Number 5"/>
    <w:basedOn w:val="Normal"/>
    <w:uiPriority w:val="99"/>
    <w:unhideWhenUsed/>
    <w:pPr>
      <w:contextualSpacing/>
    </w:pPr>
  </w:style>
  <w:style w:type="paragraph" w:styleId="ListContinue">
    <w:name w:val="List Continue"/>
    <w:basedOn w:val="Normal"/>
    <w:uiPriority w:val="99"/>
    <w:unhideWhenUsed/>
    <w:pPr>
      <w:spacing w:after="120"/>
      <w:ind w:left="283"/>
      <w:contextualSpacing/>
    </w:pPr>
  </w:style>
  <w:style w:type="paragraph" w:styleId="ListContinue2">
    <w:name w:val="List Continue 2"/>
    <w:basedOn w:val="Normal"/>
    <w:uiPriority w:val="99"/>
    <w:unhideWhenUsed/>
    <w:pPr>
      <w:spacing w:after="120"/>
      <w:ind w:left="566"/>
      <w:contextualSpacing/>
    </w:pPr>
  </w:style>
  <w:style w:type="paragraph" w:styleId="ListContinue3">
    <w:name w:val="List Continue 3"/>
    <w:basedOn w:val="Normal"/>
    <w:uiPriority w:val="99"/>
    <w:unhideWhenUsed/>
    <w:pPr>
      <w:spacing w:after="120"/>
      <w:ind w:left="849"/>
      <w:contextualSpacing/>
    </w:pPr>
  </w:style>
  <w:style w:type="paragraph" w:customStyle="1" w:styleId="H1Heading-OLD">
    <w:name w:val="H1 Heading-OLD"/>
    <w:basedOn w:val="Normal"/>
    <w:pPr>
      <w:widowControl w:val="0"/>
      <w:numPr>
        <w:numId w:val="4"/>
      </w:numPr>
      <w:spacing w:after="220" w:line="360" w:lineRule="auto"/>
      <w:jc w:val="left"/>
      <w:outlineLvl w:val="1"/>
    </w:pPr>
    <w:rPr>
      <w:rFonts w:ascii="Times New Roman Bold" w:hAnsi="Times New Roman Bold"/>
      <w:b/>
      <w:bCs/>
      <w:iCs/>
      <w:caps/>
      <w:color w:val="FF0000"/>
      <w:u w:val="single"/>
      <w:lang w:val="en-US"/>
    </w:rPr>
  </w:style>
  <w:style w:type="paragraph" w:customStyle="1" w:styleId="Obligationbold">
    <w:name w:val="Obligation bold"/>
    <w:basedOn w:val="Normal"/>
    <w:next w:val="Actor"/>
    <w:pPr>
      <w:widowControl w:val="0"/>
      <w:spacing w:after="220" w:line="360" w:lineRule="auto"/>
      <w:ind w:left="709"/>
      <w:jc w:val="left"/>
      <w:outlineLvl w:val="1"/>
    </w:pPr>
    <w:rPr>
      <w:b/>
      <w:bCs/>
      <w:iCs/>
      <w:lang w:val="en-US"/>
    </w:rPr>
  </w:style>
  <w:style w:type="paragraph" w:customStyle="1" w:styleId="H11Heading-OLD">
    <w:name w:val="H1.1 Heading-OLD"/>
    <w:basedOn w:val="ListParagraph"/>
    <w:pPr>
      <w:widowControl w:val="0"/>
      <w:numPr>
        <w:ilvl w:val="1"/>
        <w:numId w:val="4"/>
      </w:numPr>
      <w:spacing w:after="220" w:line="360" w:lineRule="auto"/>
      <w:mirrorIndents/>
      <w:outlineLvl w:val="1"/>
    </w:pPr>
    <w:rPr>
      <w:rFonts w:ascii="Times New Roman" w:eastAsia="Times New Roman" w:hAnsi="Times New Roman" w:cs="Times New Roman"/>
      <w:b/>
      <w:bCs/>
      <w:iCs/>
      <w:color w:val="7030A0"/>
      <w:sz w:val="24"/>
      <w:szCs w:val="24"/>
      <w:lang w:val="en-US"/>
    </w:rPr>
  </w:style>
  <w:style w:type="paragraph" w:customStyle="1" w:styleId="Clausecontinuation">
    <w:name w:val="Clause continuation"/>
    <w:basedOn w:val="Normal"/>
    <w:pPr>
      <w:widowControl w:val="0"/>
      <w:spacing w:after="220" w:line="360" w:lineRule="auto"/>
      <w:ind w:left="709"/>
      <w:jc w:val="left"/>
      <w:outlineLvl w:val="1"/>
    </w:pPr>
    <w:rPr>
      <w:bCs/>
      <w:iCs/>
      <w:lang w:val="en-US"/>
    </w:rPr>
  </w:style>
  <w:style w:type="paragraph" w:customStyle="1" w:styleId="a-b-c">
    <w:name w:val="a-b-c"/>
    <w:basedOn w:val="Normal"/>
    <w:pPr>
      <w:widowControl w:val="0"/>
      <w:numPr>
        <w:ilvl w:val="2"/>
        <w:numId w:val="4"/>
      </w:numPr>
      <w:tabs>
        <w:tab w:val="clear" w:pos="1702"/>
        <w:tab w:val="num" w:pos="1418"/>
      </w:tabs>
      <w:spacing w:after="220" w:line="360" w:lineRule="auto"/>
      <w:ind w:left="1418"/>
      <w:jc w:val="left"/>
      <w:outlineLvl w:val="1"/>
    </w:pPr>
    <w:rPr>
      <w:bCs/>
      <w:iCs/>
      <w:lang w:val="en-US"/>
    </w:rPr>
  </w:style>
  <w:style w:type="paragraph" w:customStyle="1" w:styleId="i-ii-iii">
    <w:name w:val="i-ii-iii"/>
    <w:basedOn w:val="Normal"/>
    <w:pPr>
      <w:widowControl w:val="0"/>
      <w:numPr>
        <w:ilvl w:val="3"/>
        <w:numId w:val="4"/>
      </w:numPr>
      <w:spacing w:after="220" w:line="360" w:lineRule="auto"/>
      <w:jc w:val="left"/>
      <w:outlineLvl w:val="1"/>
    </w:pPr>
    <w:rPr>
      <w:bCs/>
      <w:iCs/>
      <w:lang w:val="en-US"/>
    </w:rPr>
  </w:style>
  <w:style w:type="paragraph" w:customStyle="1" w:styleId="DocTitle">
    <w:name w:val="Doc Title"/>
    <w:basedOn w:val="Normal"/>
    <w:pPr>
      <w:spacing w:after="840"/>
      <w:jc w:val="center"/>
    </w:pPr>
    <w:rPr>
      <w:b/>
      <w:sz w:val="28"/>
      <w:szCs w:val="28"/>
      <w:u w:val="single"/>
      <w:lang w:val="en-US"/>
    </w:rPr>
  </w:style>
  <w:style w:type="paragraph" w:customStyle="1" w:styleId="PDBullet">
    <w:name w:val="PD Bullet"/>
    <w:basedOn w:val="ListParagraph"/>
    <w:qFormat/>
    <w:pPr>
      <w:widowControl w:val="0"/>
      <w:numPr>
        <w:numId w:val="9"/>
      </w:numPr>
      <w:spacing w:after="240" w:line="360" w:lineRule="auto"/>
      <w:ind w:left="1332" w:hanging="425"/>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Actor">
    <w:name w:val="Actor"/>
    <w:basedOn w:val="Obligationbold"/>
    <w:qFormat/>
    <w:pPr>
      <w:keepNext/>
    </w:pPr>
    <w:rPr>
      <w:b w:val="0"/>
      <w:color w:val="0070C0"/>
      <w:lang w:val="en-GB"/>
    </w:rPr>
  </w:style>
  <w:style w:type="paragraph" w:customStyle="1" w:styleId="PDbody">
    <w:name w:val="PD body"/>
    <w:basedOn w:val="Normal"/>
    <w:qFormat/>
    <w:pPr>
      <w:keepNext/>
      <w:widowControl w:val="0"/>
      <w:spacing w:after="220" w:line="360" w:lineRule="auto"/>
      <w:ind w:left="709"/>
      <w:jc w:val="left"/>
      <w:outlineLvl w:val="1"/>
    </w:pPr>
    <w:rPr>
      <w:bCs/>
      <w:iCs/>
      <w:color w:val="C0504D" w:themeColor="accent2"/>
    </w:rPr>
  </w:style>
  <w:style w:type="character" w:customStyle="1" w:styleId="Heading5Char">
    <w:name w:val="Heading 5 Char"/>
    <w:aliases w:val="level 5 Char,level5 Char,Level 3 - i Char,h5 Char"/>
    <w:basedOn w:val="DefaultParagraphFont"/>
    <w:link w:val="Heading5"/>
    <w:uiPriority w:val="9"/>
    <w:rPr>
      <w:bCs/>
      <w:iCs/>
      <w:sz w:val="24"/>
      <w:szCs w:val="26"/>
      <w:lang w:eastAsia="en-US"/>
    </w:rPr>
  </w:style>
  <w:style w:type="character" w:customStyle="1" w:styleId="Heading6Char">
    <w:name w:val="Heading 6 Char"/>
    <w:aliases w:val="level 6 Char,level6 Char,Legal Level 1. Char,h6 Char"/>
    <w:basedOn w:val="DefaultParagraphFont"/>
    <w:link w:val="Heading6"/>
    <w:uiPriority w:val="9"/>
    <w:rPr>
      <w:rFonts w:ascii="Times New Roman Bold" w:hAnsi="Times New Roman Bold" w:cs="Arial"/>
      <w:b/>
      <w:kern w:val="32"/>
      <w:sz w:val="24"/>
      <w:szCs w:val="22"/>
      <w:u w:val="single"/>
      <w:lang w:eastAsia="en-US"/>
    </w:rPr>
  </w:style>
  <w:style w:type="character" w:customStyle="1" w:styleId="Heading7Char">
    <w:name w:val="Heading 7 Char"/>
    <w:aliases w:val="level1-noHeading Char,level1noheading Char,h7 Char"/>
    <w:basedOn w:val="DefaultParagraphFont"/>
    <w:link w:val="Heading7"/>
    <w:uiPriority w:val="9"/>
    <w:rPr>
      <w:rFonts w:cs="Arial"/>
      <w:bCs/>
      <w:iCs/>
      <w:sz w:val="24"/>
      <w:szCs w:val="28"/>
      <w:lang w:eastAsia="en-US"/>
    </w:rPr>
  </w:style>
  <w:style w:type="character" w:customStyle="1" w:styleId="Heading8Char">
    <w:name w:val="Heading 8 Char"/>
    <w:aliases w:val="level2(a) Char,h8 Char"/>
    <w:basedOn w:val="DefaultParagraphFont"/>
    <w:link w:val="Heading8"/>
    <w:uiPriority w:val="9"/>
    <w:rPr>
      <w:iCs/>
      <w:sz w:val="24"/>
      <w:szCs w:val="24"/>
      <w:lang w:eastAsia="en-US"/>
    </w:rPr>
  </w:style>
  <w:style w:type="character" w:customStyle="1" w:styleId="Heading9Char">
    <w:name w:val="Heading 9 Char"/>
    <w:aliases w:val="level3(i) Char,h9 Char"/>
    <w:basedOn w:val="DefaultParagraphFont"/>
    <w:link w:val="Heading9"/>
    <w:uiPriority w:val="9"/>
    <w:rPr>
      <w:rFonts w:cs="Arial"/>
      <w:sz w:val="24"/>
      <w:szCs w:val="22"/>
      <w:lang w:eastAsia="en-US"/>
    </w:r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NormalIndented">
    <w:name w:val="Normal Indented"/>
    <w:basedOn w:val="Normal"/>
    <w:qFormat/>
    <w:pPr>
      <w:spacing w:before="120" w:after="240"/>
      <w:ind w:left="851"/>
    </w:pPr>
    <w:rPr>
      <w:rFonts w:ascii="Arial" w:hAnsi="Arial"/>
      <w:sz w:val="18"/>
    </w:rPr>
  </w:style>
  <w:style w:type="paragraph" w:customStyle="1" w:styleId="EndFootnoteText">
    <w:name w:val="End/Footnote Text"/>
    <w:basedOn w:val="Normal"/>
    <w:pPr>
      <w:spacing w:before="120" w:after="240"/>
      <w:ind w:left="851"/>
    </w:pPr>
    <w:rPr>
      <w:rFonts w:ascii="Arial" w:hAnsi="Arial" w:cs="Arial"/>
      <w:sz w:val="16"/>
      <w:szCs w:val="18"/>
    </w:rPr>
  </w:style>
  <w:style w:type="paragraph" w:customStyle="1" w:styleId="CaseStudyTitle">
    <w:name w:val="Case Study Title"/>
    <w:basedOn w:val="Normal"/>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b/>
      <w:color w:val="262626" w:themeColor="text1" w:themeTint="D9"/>
      <w:sz w:val="18"/>
      <w:szCs w:val="18"/>
    </w:rPr>
  </w:style>
  <w:style w:type="paragraph" w:customStyle="1" w:styleId="code">
    <w:name w:val="code"/>
    <w:basedOn w:val="Normal"/>
    <w:link w:val="codeChar"/>
    <w:qFormat/>
    <w:pPr>
      <w:spacing w:before="120" w:line="320" w:lineRule="exact"/>
    </w:pPr>
    <w:rPr>
      <w:rFonts w:ascii="Courier New" w:hAnsi="Courier New" w:cs="Courier New"/>
      <w:bCs/>
      <w:noProof/>
      <w:spacing w:val="-10"/>
      <w:sz w:val="18"/>
      <w:szCs w:val="18"/>
    </w:rPr>
  </w:style>
  <w:style w:type="character" w:customStyle="1" w:styleId="codeChar">
    <w:name w:val="code Char"/>
    <w:basedOn w:val="DefaultParagraphFont"/>
    <w:link w:val="code"/>
    <w:rPr>
      <w:rFonts w:ascii="Courier New" w:hAnsi="Courier New" w:cs="Courier New"/>
      <w:bCs/>
      <w:noProof/>
      <w:spacing w:val="-10"/>
      <w:sz w:val="18"/>
      <w:szCs w:val="18"/>
      <w:lang w:eastAsia="en-US"/>
    </w:rPr>
  </w:style>
  <w:style w:type="paragraph" w:styleId="TOCHeading">
    <w:name w:val="TOC Heading"/>
    <w:basedOn w:val="Heading1"/>
    <w:next w:val="Normal"/>
    <w:link w:val="TOCHeadingChar"/>
    <w:uiPriority w:val="39"/>
    <w:unhideWhenUsed/>
    <w:qFormat/>
    <w:pPr>
      <w:keepLines/>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u w:val="none"/>
      <w:lang w:val="en-US" w:eastAsia="ja-JP"/>
    </w:rPr>
  </w:style>
  <w:style w:type="paragraph" w:styleId="TOC3">
    <w:name w:val="toc 3"/>
    <w:basedOn w:val="Normal"/>
    <w:next w:val="Normal"/>
    <w:autoRedefine/>
    <w:uiPriority w:val="39"/>
    <w:unhideWhenUsed/>
    <w:qFormat/>
    <w:pPr>
      <w:ind w:left="480"/>
      <w:jc w:val="left"/>
    </w:pPr>
    <w:rPr>
      <w:rFonts w:asciiTheme="minorHAnsi" w:hAnsiTheme="minorHAnsi" w:cstheme="minorHAnsi"/>
      <w:sz w:val="20"/>
      <w:szCs w:val="20"/>
    </w:rPr>
  </w:style>
  <w:style w:type="paragraph" w:customStyle="1" w:styleId="CaseStudyBullet">
    <w:name w:val="Case Study Bullet"/>
    <w:basedOn w:val="ListBullet"/>
    <w:pPr>
      <w:numPr>
        <w:numId w:val="16"/>
      </w:numPr>
      <w:pBdr>
        <w:top w:val="single" w:sz="4" w:space="1" w:color="D0EEF4"/>
        <w:left w:val="single" w:sz="4" w:space="4" w:color="D0EEF4"/>
        <w:bottom w:val="single" w:sz="4" w:space="1" w:color="D0EEF4"/>
        <w:right w:val="single" w:sz="4" w:space="4" w:color="D0EEF4"/>
      </w:pBdr>
      <w:shd w:val="clear" w:color="auto" w:fill="FDE9D9" w:themeFill="accent6" w:themeFillTint="33"/>
      <w:tabs>
        <w:tab w:val="num" w:pos="720"/>
      </w:tabs>
      <w:ind w:left="1571" w:hanging="360"/>
    </w:pPr>
    <w:rPr>
      <w:color w:val="262626" w:themeColor="text1" w:themeTint="D9"/>
    </w:rPr>
  </w:style>
  <w:style w:type="paragraph" w:customStyle="1" w:styleId="TableDesc">
    <w:name w:val="Table Desc"/>
    <w:basedOn w:val="FigureDesc"/>
    <w:pPr>
      <w:numPr>
        <w:numId w:val="18"/>
      </w:numPr>
      <w:ind w:left="0" w:firstLine="0"/>
    </w:pPr>
  </w:style>
  <w:style w:type="character" w:customStyle="1" w:styleId="NormalBlueBold">
    <w:name w:val="Normal Blue Bold"/>
    <w:basedOn w:val="DefaultParagraphFont"/>
    <w:rPr>
      <w:rFonts w:ascii="Arial" w:hAnsi="Arial"/>
      <w:b/>
      <w:color w:val="005B82"/>
      <w:sz w:val="22"/>
      <w:szCs w:val="24"/>
      <w:lang w:val="en-GB" w:eastAsia="en-US" w:bidi="ar-SA"/>
    </w:rPr>
  </w:style>
  <w:style w:type="paragraph" w:styleId="ListBullet">
    <w:name w:val="List Bullet"/>
    <w:basedOn w:val="Normal"/>
    <w:link w:val="ListBulletChar"/>
    <w:uiPriority w:val="1"/>
    <w:qFormat/>
    <w:pPr>
      <w:numPr>
        <w:numId w:val="17"/>
      </w:numPr>
      <w:tabs>
        <w:tab w:val="left" w:pos="357"/>
      </w:tabs>
      <w:spacing w:before="120" w:after="240"/>
    </w:pPr>
    <w:rPr>
      <w:rFonts w:ascii="Arial" w:hAnsi="Arial" w:cs="Arial"/>
      <w:sz w:val="18"/>
      <w:szCs w:val="18"/>
    </w:rPr>
  </w:style>
  <w:style w:type="character" w:customStyle="1" w:styleId="ListBulletChar">
    <w:name w:val="List Bullet Char"/>
    <w:basedOn w:val="DefaultParagraphFont"/>
    <w:link w:val="ListBullet"/>
    <w:uiPriority w:val="1"/>
    <w:rPr>
      <w:rFonts w:ascii="Arial" w:hAnsi="Arial" w:cs="Arial"/>
      <w:sz w:val="18"/>
      <w:szCs w:val="18"/>
      <w:lang w:eastAsia="en-US"/>
    </w:rPr>
  </w:style>
  <w:style w:type="paragraph" w:styleId="ListBullet2">
    <w:name w:val="List Bullet 2"/>
    <w:basedOn w:val="Normal"/>
    <w:link w:val="ListBullet2Char"/>
    <w:uiPriority w:val="1"/>
    <w:qFormat/>
    <w:pPr>
      <w:numPr>
        <w:numId w:val="10"/>
      </w:numPr>
      <w:tabs>
        <w:tab w:val="left" w:pos="714"/>
      </w:tabs>
      <w:spacing w:before="120" w:after="240"/>
      <w:ind w:left="714" w:hanging="357"/>
    </w:pPr>
    <w:rPr>
      <w:rFonts w:ascii="Arial" w:hAnsi="Arial" w:cs="Arial"/>
      <w:sz w:val="18"/>
      <w:szCs w:val="18"/>
    </w:rPr>
  </w:style>
  <w:style w:type="character" w:customStyle="1" w:styleId="ListBullet2Char">
    <w:name w:val="List Bullet 2 Char"/>
    <w:basedOn w:val="DefaultParagraphFont"/>
    <w:link w:val="ListBullet2"/>
    <w:uiPriority w:val="1"/>
    <w:rPr>
      <w:rFonts w:ascii="Arial" w:hAnsi="Arial" w:cs="Arial"/>
      <w:sz w:val="18"/>
      <w:szCs w:val="18"/>
      <w:lang w:eastAsia="en-US"/>
    </w:rPr>
  </w:style>
  <w:style w:type="paragraph" w:styleId="ListBullet3">
    <w:name w:val="List Bullet 3"/>
    <w:basedOn w:val="Normal"/>
    <w:uiPriority w:val="1"/>
    <w:qFormat/>
    <w:pPr>
      <w:numPr>
        <w:numId w:val="11"/>
      </w:numPr>
      <w:tabs>
        <w:tab w:val="left" w:pos="1072"/>
      </w:tabs>
      <w:spacing w:before="120" w:after="240"/>
      <w:ind w:left="1071" w:hanging="357"/>
    </w:pPr>
    <w:rPr>
      <w:rFonts w:ascii="Arial" w:hAnsi="Arial" w:cs="Arial"/>
      <w:sz w:val="18"/>
      <w:szCs w:val="18"/>
    </w:rPr>
  </w:style>
  <w:style w:type="paragraph" w:styleId="ListBullet4">
    <w:name w:val="List Bullet 4"/>
    <w:basedOn w:val="Normal"/>
    <w:uiPriority w:val="1"/>
    <w:qFormat/>
    <w:pPr>
      <w:numPr>
        <w:numId w:val="12"/>
      </w:numPr>
      <w:spacing w:before="120" w:after="240"/>
    </w:pPr>
    <w:rPr>
      <w:rFonts w:ascii="Arial" w:hAnsi="Arial" w:cs="Arial"/>
      <w:sz w:val="18"/>
      <w:szCs w:val="18"/>
    </w:rPr>
  </w:style>
  <w:style w:type="paragraph" w:customStyle="1" w:styleId="Tablebullet1">
    <w:name w:val="Table bullet 1"/>
    <w:basedOn w:val="ListBullet"/>
    <w:pPr>
      <w:spacing w:before="60" w:after="60"/>
    </w:pPr>
  </w:style>
  <w:style w:type="paragraph" w:customStyle="1" w:styleId="Tablebullet2">
    <w:name w:val="Table bullet 2"/>
    <w:basedOn w:val="Normal"/>
    <w:uiPriority w:val="99"/>
    <w:pPr>
      <w:numPr>
        <w:numId w:val="13"/>
      </w:numPr>
      <w:spacing w:before="60" w:after="60"/>
    </w:pPr>
    <w:rPr>
      <w:rFonts w:ascii="Arial" w:hAnsi="Arial" w:cs="Arial"/>
      <w:sz w:val="18"/>
      <w:szCs w:val="18"/>
    </w:rPr>
  </w:style>
  <w:style w:type="paragraph" w:customStyle="1" w:styleId="ParagraphNumbering">
    <w:name w:val="Paragraph Numbering"/>
    <w:basedOn w:val="Normal"/>
    <w:pPr>
      <w:numPr>
        <w:numId w:val="14"/>
      </w:numPr>
      <w:spacing w:before="120" w:after="240"/>
    </w:pPr>
    <w:rPr>
      <w:rFonts w:ascii="Arial" w:hAnsi="Arial" w:cs="Arial"/>
      <w:sz w:val="18"/>
      <w:szCs w:val="18"/>
    </w:rPr>
  </w:style>
  <w:style w:type="paragraph" w:customStyle="1" w:styleId="FigureDesc">
    <w:name w:val="Figure Desc"/>
    <w:basedOn w:val="Normal"/>
    <w:pPr>
      <w:numPr>
        <w:numId w:val="19"/>
      </w:numPr>
      <w:spacing w:before="120" w:after="120"/>
      <w:jc w:val="center"/>
    </w:pPr>
    <w:rPr>
      <w:rFonts w:ascii="Arial" w:hAnsi="Arial" w:cs="Arial"/>
      <w:b/>
      <w:color w:val="29235C"/>
      <w:sz w:val="18"/>
      <w:szCs w:val="18"/>
    </w:rPr>
  </w:style>
  <w:style w:type="paragraph" w:customStyle="1" w:styleId="ClientTextTitle">
    <w:name w:val="Client Text Title"/>
    <w:basedOn w:val="Normal"/>
    <w:pPr>
      <w:pBdr>
        <w:top w:val="single" w:sz="4" w:space="1" w:color="9CA299"/>
        <w:left w:val="single" w:sz="4" w:space="4" w:color="9CA299"/>
        <w:bottom w:val="single" w:sz="4" w:space="1" w:color="9CA299"/>
        <w:right w:val="single" w:sz="4" w:space="4" w:color="9CA299"/>
      </w:pBdr>
      <w:shd w:val="clear" w:color="auto" w:fill="EEECE1"/>
      <w:spacing w:before="120" w:after="240"/>
      <w:ind w:left="851"/>
    </w:pPr>
    <w:rPr>
      <w:rFonts w:ascii="Arial" w:hAnsi="Arial" w:cs="Arial"/>
      <w:b/>
      <w:color w:val="005B82"/>
      <w:sz w:val="18"/>
      <w:szCs w:val="18"/>
    </w:rPr>
  </w:style>
  <w:style w:type="paragraph" w:customStyle="1" w:styleId="Page">
    <w:name w:val="Page"/>
    <w:basedOn w:val="Footer"/>
    <w:locked/>
    <w:pPr>
      <w:tabs>
        <w:tab w:val="clear" w:pos="4153"/>
        <w:tab w:val="clear" w:pos="8306"/>
        <w:tab w:val="center" w:pos="4320"/>
        <w:tab w:val="right" w:pos="8640"/>
      </w:tabs>
      <w:spacing w:before="60"/>
      <w:ind w:left="851"/>
      <w:jc w:val="right"/>
    </w:pPr>
    <w:rPr>
      <w:rFonts w:ascii="Arial" w:hAnsi="Arial" w:cs="Arial"/>
      <w:b/>
      <w:color w:val="29235C"/>
      <w:sz w:val="20"/>
      <w:szCs w:val="20"/>
    </w:rPr>
  </w:style>
  <w:style w:type="paragraph" w:customStyle="1" w:styleId="ListTick">
    <w:name w:val="List Tick"/>
    <w:basedOn w:val="ListBullet"/>
    <w:qFormat/>
    <w:pPr>
      <w:numPr>
        <w:numId w:val="20"/>
      </w:numPr>
      <w:tabs>
        <w:tab w:val="num" w:pos="720"/>
      </w:tabs>
    </w:pPr>
  </w:style>
  <w:style w:type="character" w:customStyle="1" w:styleId="Italic">
    <w:name w:val="Italic"/>
    <w:basedOn w:val="DefaultParagraphFont"/>
    <w:rPr>
      <w:rFonts w:ascii="Arial" w:hAnsi="Arial"/>
      <w:i/>
      <w:sz w:val="22"/>
    </w:rPr>
  </w:style>
  <w:style w:type="paragraph" w:styleId="TOC4">
    <w:name w:val="toc 4"/>
    <w:basedOn w:val="Normal"/>
    <w:next w:val="Normal"/>
    <w:autoRedefine/>
    <w:uiPriority w:val="39"/>
    <w:qFormat/>
    <w:pPr>
      <w:ind w:left="720"/>
      <w:jc w:val="left"/>
    </w:pPr>
    <w:rPr>
      <w:rFonts w:asciiTheme="minorHAnsi" w:hAnsiTheme="minorHAnsi" w:cstheme="minorHAnsi"/>
      <w:sz w:val="20"/>
      <w:szCs w:val="20"/>
    </w:rPr>
  </w:style>
  <w:style w:type="character" w:customStyle="1" w:styleId="NormalLightBlueBold">
    <w:name w:val="Normal Light Blue Bold"/>
    <w:basedOn w:val="NormalBlueBold"/>
    <w:qFormat/>
    <w:rPr>
      <w:rFonts w:ascii="Arial" w:hAnsi="Arial"/>
      <w:b/>
      <w:color w:val="3CB6CE"/>
      <w:sz w:val="22"/>
      <w:szCs w:val="24"/>
      <w:lang w:val="en-GB" w:eastAsia="en-US" w:bidi="ar-SA"/>
    </w:rPr>
  </w:style>
  <w:style w:type="paragraph" w:customStyle="1" w:styleId="DiagramCentered">
    <w:name w:val="Diagram Centered"/>
    <w:basedOn w:val="Normal"/>
    <w:pPr>
      <w:spacing w:before="120" w:after="120"/>
      <w:ind w:left="851"/>
      <w:jc w:val="center"/>
    </w:pPr>
    <w:rPr>
      <w:rFonts w:ascii="Arial" w:hAnsi="Arial" w:cs="Arial"/>
      <w:sz w:val="18"/>
      <w:szCs w:val="18"/>
    </w:rPr>
  </w:style>
  <w:style w:type="paragraph" w:customStyle="1" w:styleId="CaseStudyText">
    <w:name w:val="Case Study Text"/>
    <w:basedOn w:val="Normal"/>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color w:val="262626" w:themeColor="text1" w:themeTint="D9"/>
      <w:sz w:val="18"/>
      <w:szCs w:val="18"/>
    </w:rPr>
  </w:style>
  <w:style w:type="paragraph" w:customStyle="1" w:styleId="DocumentTitle">
    <w:name w:val="Document Title"/>
    <w:basedOn w:val="Normal"/>
    <w:pPr>
      <w:spacing w:before="1000" w:after="240"/>
      <w:ind w:left="851"/>
      <w:jc w:val="center"/>
    </w:pPr>
    <w:rPr>
      <w:rFonts w:ascii="Arial Bold" w:hAnsi="Arial Bold" w:cs="Arial"/>
      <w:b/>
      <w:color w:val="29235C"/>
      <w:sz w:val="36"/>
      <w:szCs w:val="18"/>
    </w:rPr>
  </w:style>
  <w:style w:type="paragraph" w:customStyle="1" w:styleId="DocumentSubtitle">
    <w:name w:val="Document Subtitle"/>
    <w:basedOn w:val="Normal"/>
    <w:pPr>
      <w:spacing w:before="120" w:after="240"/>
      <w:ind w:left="851"/>
      <w:jc w:val="center"/>
    </w:pPr>
    <w:rPr>
      <w:rFonts w:ascii="Arial Bold" w:hAnsi="Arial Bold" w:cs="Arial"/>
      <w:b/>
      <w:color w:val="29235C"/>
      <w:sz w:val="32"/>
      <w:szCs w:val="18"/>
    </w:rPr>
  </w:style>
  <w:style w:type="character" w:customStyle="1" w:styleId="Bold">
    <w:name w:val="Bold"/>
    <w:basedOn w:val="DefaultParagraphFont"/>
    <w:rPr>
      <w:rFonts w:ascii="Arial" w:hAnsi="Arial"/>
      <w:b/>
      <w:sz w:val="22"/>
    </w:rPr>
  </w:style>
  <w:style w:type="paragraph" w:customStyle="1" w:styleId="ClientText">
    <w:name w:val="Client Text"/>
    <w:basedOn w:val="ClientTextTitle"/>
    <w:rPr>
      <w:b w:val="0"/>
    </w:rPr>
  </w:style>
  <w:style w:type="paragraph" w:customStyle="1" w:styleId="ClientTextBullet">
    <w:name w:val="Client Text Bullet"/>
    <w:basedOn w:val="ClientTextTitle"/>
    <w:pPr>
      <w:numPr>
        <w:numId w:val="15"/>
      </w:numPr>
    </w:pPr>
    <w:rPr>
      <w:b w:val="0"/>
    </w:rPr>
  </w:style>
  <w:style w:type="character" w:customStyle="1" w:styleId="Highlight1">
    <w:name w:val="Highlight 1"/>
    <w:basedOn w:val="DefaultParagraphFont"/>
    <w:rPr>
      <w:rFonts w:ascii="Arial" w:hAnsi="Arial"/>
      <w:bdr w:val="none" w:sz="0" w:space="0" w:color="auto"/>
      <w:shd w:val="clear" w:color="auto" w:fill="FFFF00"/>
    </w:rPr>
  </w:style>
  <w:style w:type="character" w:customStyle="1" w:styleId="NormalBlue">
    <w:name w:val="Normal Blue"/>
    <w:basedOn w:val="DefaultParagraphFont"/>
    <w:rPr>
      <w:color w:val="005B82"/>
    </w:rPr>
  </w:style>
  <w:style w:type="character" w:customStyle="1" w:styleId="EndFootnoteReference">
    <w:name w:val="End/Footnote Reference"/>
    <w:basedOn w:val="DefaultParagraphFont"/>
    <w:rPr>
      <w:vertAlign w:val="superscript"/>
    </w:rPr>
  </w:style>
  <w:style w:type="character" w:customStyle="1" w:styleId="NormalLightBlue">
    <w:name w:val="Normal Light Blue"/>
    <w:basedOn w:val="NormalBlue"/>
    <w:qFormat/>
    <w:rPr>
      <w:color w:val="3CB6CE"/>
    </w:rPr>
  </w:style>
  <w:style w:type="paragraph" w:customStyle="1" w:styleId="ListCross">
    <w:name w:val="List Cross"/>
    <w:basedOn w:val="ListTick"/>
    <w:qFormat/>
    <w:pPr>
      <w:numPr>
        <w:numId w:val="21"/>
      </w:numPr>
      <w:tabs>
        <w:tab w:val="num" w:pos="720"/>
      </w:tabs>
      <w:ind w:left="284" w:hanging="284"/>
    </w:pPr>
  </w:style>
  <w:style w:type="paragraph" w:customStyle="1" w:styleId="HeaderSubtitle">
    <w:name w:val="Header Subtitle"/>
    <w:basedOn w:val="Header"/>
    <w:link w:val="HeaderSubtitleChar"/>
    <w:qFormat/>
    <w:locked/>
  </w:style>
  <w:style w:type="character" w:customStyle="1" w:styleId="HeaderSubtitleChar">
    <w:name w:val="Header Subtitle Char"/>
    <w:basedOn w:val="HeaderChar"/>
    <w:link w:val="HeaderSubtitle"/>
    <w:rPr>
      <w:b/>
      <w:sz w:val="24"/>
      <w:szCs w:val="24"/>
      <w:lang w:eastAsia="en-US"/>
    </w:rPr>
  </w:style>
  <w:style w:type="table" w:styleId="MediumGrid3-Accent5">
    <w:name w:val="Medium Grid 3 Accent 5"/>
    <w:aliases w:val="Capita Light Blue - Banded Rows"/>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ableText-Left">
    <w:name w:val="Table Text - Left"/>
    <w:basedOn w:val="Normal"/>
    <w:link w:val="TableText-LeftChar"/>
    <w:qFormat/>
    <w:pPr>
      <w:spacing w:before="60" w:after="60"/>
      <w:ind w:left="851"/>
      <w:jc w:val="left"/>
    </w:pPr>
    <w:rPr>
      <w:rFonts w:ascii="Arial" w:hAnsi="Arial" w:cs="Arial"/>
      <w:sz w:val="18"/>
      <w:szCs w:val="18"/>
    </w:rPr>
  </w:style>
  <w:style w:type="character" w:customStyle="1" w:styleId="TableText-LeftChar">
    <w:name w:val="Table Text - Left Char"/>
    <w:basedOn w:val="DefaultParagraphFont"/>
    <w:link w:val="TableText-Left"/>
    <w:rPr>
      <w:rFonts w:ascii="Arial" w:hAnsi="Arial" w:cs="Arial"/>
      <w:sz w:val="18"/>
      <w:szCs w:val="18"/>
      <w:lang w:eastAsia="en-US"/>
    </w:rPr>
  </w:style>
  <w:style w:type="paragraph" w:customStyle="1" w:styleId="TableText-Right">
    <w:name w:val="Table Text - Right"/>
    <w:basedOn w:val="TableText-Centre"/>
    <w:link w:val="TableText-RightChar"/>
    <w:qFormat/>
    <w:pPr>
      <w:jc w:val="right"/>
    </w:pPr>
  </w:style>
  <w:style w:type="character" w:customStyle="1" w:styleId="TableText-RightChar">
    <w:name w:val="Table Text - Right Char"/>
    <w:basedOn w:val="TableText-CentreChar"/>
    <w:link w:val="TableText-Right"/>
    <w:rPr>
      <w:rFonts w:ascii="Arial" w:hAnsi="Arial" w:cs="Arial"/>
      <w:sz w:val="16"/>
      <w:szCs w:val="18"/>
      <w:lang w:eastAsia="en-US"/>
    </w:rPr>
  </w:style>
  <w:style w:type="table" w:styleId="MediumList1-Accent6">
    <w:name w:val="Medium List 1 Accent 6"/>
    <w:basedOn w:val="TableNormal"/>
    <w:uiPriority w:val="65"/>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ColorfulList-Accent5">
    <w:name w:val="Colorful List Accent 5"/>
    <w:basedOn w:val="TableNormal"/>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4">
    <w:name w:val="Colorful List Accent 4"/>
    <w:basedOn w:val="TableNormal"/>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paragraph" w:styleId="NormalWeb">
    <w:name w:val="Normal (Web)"/>
    <w:basedOn w:val="Normal"/>
    <w:uiPriority w:val="99"/>
    <w:unhideWhenUsed/>
    <w:pPr>
      <w:spacing w:before="100" w:beforeAutospacing="1" w:after="100" w:afterAutospacing="1"/>
      <w:ind w:left="851"/>
      <w:jc w:val="left"/>
    </w:pPr>
    <w:rPr>
      <w:rFonts w:eastAsiaTheme="minorEastAsia" w:cs="Arial"/>
      <w:szCs w:val="18"/>
      <w:lang w:eastAsia="en-GB"/>
    </w:rPr>
  </w:style>
  <w:style w:type="table" w:styleId="LightList-Accent2">
    <w:name w:val="Light List Accent 2"/>
    <w:basedOn w:val="TableNormal"/>
    <w:uiPriority w:val="6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TableText0">
    <w:name w:val="Table Text"/>
    <w:basedOn w:val="Normal"/>
    <w:uiPriority w:val="18"/>
    <w:qFormat/>
    <w:pPr>
      <w:ind w:left="851"/>
      <w:jc w:val="left"/>
    </w:pPr>
    <w:rPr>
      <w:rFonts w:asciiTheme="minorHAnsi" w:hAnsiTheme="minorHAnsi" w:cs="Arial"/>
      <w:sz w:val="16"/>
      <w:szCs w:val="22"/>
    </w:rPr>
  </w:style>
  <w:style w:type="paragraph" w:customStyle="1" w:styleId="TableHeading">
    <w:name w:val="Table Heading"/>
    <w:basedOn w:val="Normal"/>
    <w:qFormat/>
    <w:pPr>
      <w:ind w:left="851"/>
      <w:jc w:val="left"/>
    </w:pPr>
    <w:rPr>
      <w:rFonts w:asciiTheme="minorHAnsi" w:hAnsiTheme="minorHAnsi" w:cs="Arial"/>
      <w:b/>
      <w:color w:val="FFFFFF" w:themeColor="background1"/>
      <w:sz w:val="18"/>
      <w:szCs w:val="22"/>
    </w:rPr>
  </w:style>
  <w:style w:type="paragraph" w:customStyle="1" w:styleId="Tnormal">
    <w:name w:val="Tnormal"/>
    <w:basedOn w:val="Normal"/>
    <w:pPr>
      <w:overflowPunct w:val="0"/>
      <w:autoSpaceDE w:val="0"/>
      <w:autoSpaceDN w:val="0"/>
      <w:adjustRightInd w:val="0"/>
      <w:spacing w:after="120"/>
      <w:ind w:left="851"/>
      <w:jc w:val="left"/>
      <w:textAlignment w:val="baseline"/>
    </w:pPr>
    <w:rPr>
      <w:rFonts w:ascii="Arial" w:hAnsi="Arial" w:cs="Arial"/>
      <w:sz w:val="20"/>
      <w:szCs w:val="18"/>
    </w:rPr>
  </w:style>
  <w:style w:type="paragraph" w:styleId="Title">
    <w:name w:val="Title"/>
    <w:basedOn w:val="Normal"/>
    <w:next w:val="BodyText"/>
    <w:link w:val="TitleChar"/>
    <w:uiPriority w:val="10"/>
    <w:qFormat/>
    <w:pPr>
      <w:ind w:left="851"/>
      <w:contextualSpacing/>
      <w:jc w:val="left"/>
    </w:pPr>
    <w:rPr>
      <w:rFonts w:asciiTheme="minorHAnsi" w:hAnsiTheme="minorHAnsi" w:cs="Arial"/>
      <w:b/>
      <w:color w:val="4F81BD" w:themeColor="accent1"/>
      <w:spacing w:val="5"/>
      <w:sz w:val="64"/>
      <w:szCs w:val="48"/>
    </w:rPr>
  </w:style>
  <w:style w:type="character" w:customStyle="1" w:styleId="TitleChar">
    <w:name w:val="Title Char"/>
    <w:basedOn w:val="DefaultParagraphFont"/>
    <w:link w:val="Title"/>
    <w:uiPriority w:val="10"/>
    <w:rPr>
      <w:rFonts w:asciiTheme="minorHAnsi" w:hAnsiTheme="minorHAnsi" w:cs="Arial"/>
      <w:b/>
      <w:color w:val="4F81BD" w:themeColor="accent1"/>
      <w:spacing w:val="5"/>
      <w:sz w:val="64"/>
      <w:szCs w:val="48"/>
      <w:lang w:eastAsia="en-US"/>
    </w:rPr>
  </w:style>
  <w:style w:type="paragraph" w:styleId="Subtitle">
    <w:name w:val="Subtitle"/>
    <w:basedOn w:val="Normal"/>
    <w:next w:val="BodyText"/>
    <w:link w:val="SubtitleChar"/>
    <w:uiPriority w:val="11"/>
    <w:unhideWhenUsed/>
    <w:qFormat/>
    <w:pPr>
      <w:spacing w:after="240" w:line="288" w:lineRule="auto"/>
      <w:ind w:left="851"/>
      <w:jc w:val="left"/>
    </w:pPr>
    <w:rPr>
      <w:rFonts w:asciiTheme="minorHAnsi" w:hAnsiTheme="minorHAnsi" w:cs="Arial"/>
      <w:b/>
      <w:iCs/>
      <w:color w:val="C0504D" w:themeColor="accent2"/>
      <w:sz w:val="64"/>
      <w:szCs w:val="18"/>
    </w:rPr>
  </w:style>
  <w:style w:type="character" w:customStyle="1" w:styleId="SubtitleChar">
    <w:name w:val="Subtitle Char"/>
    <w:basedOn w:val="DefaultParagraphFont"/>
    <w:link w:val="Subtitle"/>
    <w:uiPriority w:val="11"/>
    <w:rPr>
      <w:rFonts w:asciiTheme="minorHAnsi" w:hAnsiTheme="minorHAnsi" w:cs="Arial"/>
      <w:b/>
      <w:iCs/>
      <w:color w:val="C0504D" w:themeColor="accent2"/>
      <w:sz w:val="64"/>
      <w:szCs w:val="18"/>
      <w:lang w:eastAsia="en-US"/>
    </w:rPr>
  </w:style>
  <w:style w:type="character" w:styleId="Emphasis">
    <w:name w:val="Emphasis"/>
    <w:uiPriority w:val="2"/>
    <w:qFormat/>
    <w:rPr>
      <w:b/>
      <w:bCs/>
      <w:i/>
      <w:iCs/>
      <w:spacing w:val="10"/>
      <w:bdr w:val="none" w:sz="0" w:space="0" w:color="auto"/>
      <w:shd w:val="clear" w:color="auto" w:fill="auto"/>
    </w:rPr>
  </w:style>
  <w:style w:type="paragraph" w:styleId="NoSpacing">
    <w:name w:val="No Spacing"/>
    <w:basedOn w:val="Normal"/>
    <w:link w:val="NoSpacingChar"/>
    <w:uiPriority w:val="1"/>
    <w:qFormat/>
    <w:pPr>
      <w:ind w:left="851"/>
      <w:jc w:val="left"/>
    </w:pPr>
    <w:rPr>
      <w:rFonts w:asciiTheme="minorHAnsi" w:hAnsiTheme="minorHAnsi" w:cs="Arial"/>
      <w:sz w:val="20"/>
      <w:szCs w:val="22"/>
    </w:rPr>
  </w:style>
  <w:style w:type="character" w:customStyle="1" w:styleId="NoSpacingChar">
    <w:name w:val="No Spacing Char"/>
    <w:basedOn w:val="DefaultParagraphFont"/>
    <w:link w:val="NoSpacing"/>
    <w:uiPriority w:val="1"/>
    <w:rPr>
      <w:rFonts w:asciiTheme="minorHAnsi" w:hAnsiTheme="minorHAnsi" w:cs="Arial"/>
      <w:szCs w:val="22"/>
      <w:lang w:eastAsia="en-US"/>
    </w:rPr>
  </w:style>
  <w:style w:type="paragraph" w:styleId="Quote">
    <w:name w:val="Quote"/>
    <w:basedOn w:val="Normal"/>
    <w:next w:val="BodyText"/>
    <w:link w:val="QuoteChar"/>
    <w:uiPriority w:val="29"/>
    <w:qFormat/>
    <w:pPr>
      <w:spacing w:before="200" w:line="288" w:lineRule="auto"/>
      <w:ind w:left="851"/>
      <w:jc w:val="left"/>
    </w:pPr>
    <w:rPr>
      <w:rFonts w:asciiTheme="minorHAnsi" w:hAnsiTheme="minorHAnsi" w:cs="Arial"/>
      <w:i/>
      <w:iCs/>
      <w:color w:val="C0504D" w:themeColor="accent2"/>
      <w:sz w:val="28"/>
      <w:szCs w:val="22"/>
    </w:rPr>
  </w:style>
  <w:style w:type="character" w:customStyle="1" w:styleId="QuoteChar">
    <w:name w:val="Quote Char"/>
    <w:basedOn w:val="DefaultParagraphFont"/>
    <w:link w:val="Quote"/>
    <w:uiPriority w:val="29"/>
    <w:rPr>
      <w:rFonts w:asciiTheme="minorHAnsi" w:hAnsiTheme="minorHAnsi" w:cs="Arial"/>
      <w:i/>
      <w:iCs/>
      <w:color w:val="C0504D" w:themeColor="accent2"/>
      <w:sz w:val="28"/>
      <w:szCs w:val="22"/>
      <w:lang w:eastAsia="en-US"/>
    </w:rPr>
  </w:style>
  <w:style w:type="paragraph" w:styleId="IntenseQuote">
    <w:name w:val="Intense Quote"/>
    <w:basedOn w:val="Normal"/>
    <w:next w:val="BodyText"/>
    <w:link w:val="IntenseQuoteChar"/>
    <w:uiPriority w:val="30"/>
    <w:qFormat/>
    <w:pPr>
      <w:pBdr>
        <w:bottom w:val="single" w:sz="4" w:space="1" w:color="auto"/>
      </w:pBdr>
      <w:spacing w:before="200" w:after="280" w:line="288" w:lineRule="auto"/>
      <w:ind w:left="1008" w:right="1152"/>
    </w:pPr>
    <w:rPr>
      <w:rFonts w:asciiTheme="minorHAnsi" w:hAnsiTheme="minorHAnsi" w:cs="Arial"/>
      <w:b/>
      <w:bCs/>
      <w:i/>
      <w:iCs/>
      <w:sz w:val="20"/>
      <w:szCs w:val="22"/>
    </w:rPr>
  </w:style>
  <w:style w:type="character" w:customStyle="1" w:styleId="IntenseQuoteChar">
    <w:name w:val="Intense Quote Char"/>
    <w:basedOn w:val="DefaultParagraphFont"/>
    <w:link w:val="IntenseQuote"/>
    <w:uiPriority w:val="30"/>
    <w:rPr>
      <w:rFonts w:asciiTheme="minorHAnsi" w:hAnsiTheme="minorHAnsi" w:cs="Arial"/>
      <w:b/>
      <w:bCs/>
      <w:i/>
      <w:iCs/>
      <w:szCs w:val="22"/>
      <w:lang w:eastAsia="en-US"/>
    </w:rPr>
  </w:style>
  <w:style w:type="character" w:styleId="SubtleEmphasis">
    <w:name w:val="Subtle Emphasis"/>
    <w:uiPriority w:val="99"/>
    <w:qFormat/>
    <w:rPr>
      <w:i/>
      <w:iCs/>
    </w:rPr>
  </w:style>
  <w:style w:type="character" w:styleId="IntenseEmphasis">
    <w:name w:val="Intense Emphasis"/>
    <w:uiPriority w:val="21"/>
    <w:qFormat/>
    <w:rPr>
      <w:b/>
      <w:bCs/>
    </w:rPr>
  </w:style>
  <w:style w:type="character" w:styleId="SubtleReference">
    <w:name w:val="Subtle Reference"/>
    <w:uiPriority w:val="2"/>
    <w:rPr>
      <w:smallCaps/>
    </w:rPr>
  </w:style>
  <w:style w:type="character" w:styleId="IntenseReference">
    <w:name w:val="Intense Reference"/>
    <w:uiPriority w:val="32"/>
    <w:qFormat/>
    <w:rPr>
      <w:smallCaps/>
      <w:spacing w:val="5"/>
      <w:u w:val="single"/>
    </w:rPr>
  </w:style>
  <w:style w:type="character" w:styleId="BookTitle">
    <w:name w:val="Book Title"/>
    <w:uiPriority w:val="33"/>
    <w:rPr>
      <w:i/>
      <w:iCs/>
      <w:smallCaps/>
      <w:spacing w:val="5"/>
    </w:rPr>
  </w:style>
  <w:style w:type="paragraph" w:customStyle="1" w:styleId="Intro">
    <w:name w:val="Intro"/>
    <w:basedOn w:val="Normal"/>
    <w:next w:val="BodyText"/>
    <w:uiPriority w:val="3"/>
    <w:qFormat/>
    <w:pPr>
      <w:spacing w:after="640"/>
      <w:ind w:left="851"/>
      <w:contextualSpacing/>
      <w:jc w:val="left"/>
    </w:pPr>
    <w:rPr>
      <w:rFonts w:asciiTheme="minorHAnsi" w:hAnsiTheme="minorHAnsi" w:cs="Arial"/>
      <w:b/>
      <w:color w:val="C0504D" w:themeColor="accent2"/>
      <w:sz w:val="36"/>
      <w:szCs w:val="22"/>
    </w:rPr>
  </w:style>
  <w:style w:type="numbering" w:customStyle="1" w:styleId="CGI-Headings">
    <w:name w:val="CGI - Headings"/>
    <w:uiPriority w:val="99"/>
    <w:pPr>
      <w:numPr>
        <w:numId w:val="22"/>
      </w:numPr>
    </w:pPr>
  </w:style>
  <w:style w:type="paragraph" w:customStyle="1" w:styleId="GenericSubTitle">
    <w:name w:val="Generic Sub Title"/>
    <w:next w:val="BodyText"/>
    <w:uiPriority w:val="12"/>
    <w:qFormat/>
    <w:pPr>
      <w:keepNext/>
      <w:keepLines/>
      <w:spacing w:before="120" w:after="60" w:line="288" w:lineRule="auto"/>
    </w:pPr>
    <w:rPr>
      <w:rFonts w:ascii="Arial" w:hAnsi="Arial"/>
      <w:b/>
      <w:noProof/>
      <w:color w:val="C0504D" w:themeColor="accent2"/>
      <w:szCs w:val="26"/>
      <w:lang w:val="en-US" w:eastAsia="fr-CA"/>
    </w:rPr>
  </w:style>
  <w:style w:type="paragraph" w:styleId="List">
    <w:name w:val="List"/>
    <w:basedOn w:val="Normal"/>
    <w:uiPriority w:val="99"/>
    <w:pPr>
      <w:spacing w:line="288" w:lineRule="auto"/>
      <w:ind w:left="360" w:hanging="360"/>
      <w:contextualSpacing/>
      <w:jc w:val="left"/>
    </w:pPr>
    <w:rPr>
      <w:rFonts w:asciiTheme="minorHAnsi" w:hAnsiTheme="minorHAnsi" w:cs="Arial"/>
      <w:sz w:val="20"/>
      <w:szCs w:val="22"/>
    </w:rPr>
  </w:style>
  <w:style w:type="paragraph" w:customStyle="1" w:styleId="Note">
    <w:name w:val="Note"/>
    <w:basedOn w:val="Normal"/>
    <w:next w:val="BodyText"/>
    <w:uiPriority w:val="3"/>
    <w:qFormat/>
    <w:pPr>
      <w:spacing w:before="60" w:after="60"/>
      <w:ind w:left="851"/>
      <w:jc w:val="left"/>
    </w:pPr>
    <w:rPr>
      <w:rFonts w:asciiTheme="minorHAnsi" w:hAnsiTheme="minorHAnsi" w:cs="Arial"/>
      <w:sz w:val="14"/>
      <w:szCs w:val="22"/>
    </w:rPr>
  </w:style>
  <w:style w:type="paragraph" w:customStyle="1" w:styleId="Cover-Title">
    <w:name w:val="Cover - Title"/>
    <w:basedOn w:val="Normal"/>
    <w:next w:val="BodyText"/>
    <w:uiPriority w:val="99"/>
    <w:qFormat/>
    <w:pPr>
      <w:ind w:left="851"/>
      <w:jc w:val="left"/>
    </w:pPr>
    <w:rPr>
      <w:rFonts w:asciiTheme="minorHAnsi" w:hAnsiTheme="minorHAnsi" w:cs="Arial"/>
      <w:b/>
      <w:color w:val="4F81BD" w:themeColor="accent1"/>
      <w:sz w:val="64"/>
      <w:szCs w:val="48"/>
    </w:rPr>
  </w:style>
  <w:style w:type="paragraph" w:customStyle="1" w:styleId="Cover-Proposalname">
    <w:name w:val="Cover - Proposal name"/>
    <w:basedOn w:val="Cover-Title"/>
    <w:next w:val="BodyText"/>
    <w:uiPriority w:val="99"/>
    <w:qFormat/>
    <w:rPr>
      <w:color w:val="9BBB59" w:themeColor="accent3"/>
    </w:rPr>
  </w:style>
  <w:style w:type="paragraph" w:customStyle="1" w:styleId="Cover-footersecurity">
    <w:name w:val="Cover - footer security"/>
    <w:basedOn w:val="Footer"/>
    <w:next w:val="BodyText"/>
    <w:uiPriority w:val="99"/>
    <w:qFormat/>
    <w:pPr>
      <w:tabs>
        <w:tab w:val="clear" w:pos="4153"/>
        <w:tab w:val="clear" w:pos="8306"/>
        <w:tab w:val="center" w:pos="4680"/>
        <w:tab w:val="right" w:pos="9720"/>
      </w:tabs>
      <w:spacing w:after="60"/>
      <w:ind w:left="851"/>
      <w:jc w:val="left"/>
    </w:pPr>
    <w:rPr>
      <w:rFonts w:asciiTheme="minorHAnsi" w:hAnsiTheme="minorHAnsi" w:cs="Arial"/>
      <w:b/>
      <w:color w:val="4BACC6" w:themeColor="accent5"/>
      <w:sz w:val="32"/>
      <w:szCs w:val="28"/>
    </w:rPr>
  </w:style>
  <w:style w:type="paragraph" w:customStyle="1" w:styleId="Footersecurity">
    <w:name w:val="Footer security"/>
    <w:basedOn w:val="Footer"/>
    <w:next w:val="BodyText"/>
    <w:uiPriority w:val="99"/>
    <w:qFormat/>
    <w:pPr>
      <w:tabs>
        <w:tab w:val="clear" w:pos="4153"/>
        <w:tab w:val="clear" w:pos="8306"/>
        <w:tab w:val="center" w:pos="4680"/>
        <w:tab w:val="right" w:pos="9720"/>
      </w:tabs>
      <w:ind w:left="851"/>
      <w:jc w:val="left"/>
    </w:pPr>
    <w:rPr>
      <w:rFonts w:asciiTheme="minorHAnsi" w:hAnsiTheme="minorHAnsi" w:cs="Arial"/>
      <w:b/>
      <w:color w:val="4BACC6" w:themeColor="accent5"/>
      <w:sz w:val="20"/>
      <w:szCs w:val="16"/>
    </w:rPr>
  </w:style>
  <w:style w:type="paragraph" w:styleId="TOC5">
    <w:name w:val="toc 5"/>
    <w:basedOn w:val="Normal"/>
    <w:next w:val="BodyText"/>
    <w:autoRedefine/>
    <w:uiPriority w:val="39"/>
    <w:unhideWhenUsed/>
    <w:qFormat/>
    <w:pPr>
      <w:ind w:left="960"/>
      <w:jc w:val="left"/>
    </w:pPr>
    <w:rPr>
      <w:rFonts w:asciiTheme="minorHAnsi" w:hAnsiTheme="minorHAnsi" w:cstheme="minorHAnsi"/>
      <w:sz w:val="20"/>
      <w:szCs w:val="20"/>
    </w:rPr>
  </w:style>
  <w:style w:type="paragraph" w:customStyle="1" w:styleId="Appendixheading1">
    <w:name w:val="Appendix heading 1"/>
    <w:basedOn w:val="Heading1"/>
    <w:next w:val="BodyText"/>
    <w:uiPriority w:val="10"/>
    <w:qFormat/>
    <w:pPr>
      <w:keepLines/>
      <w:pageBreakBefore/>
      <w:widowControl/>
      <w:numPr>
        <w:numId w:val="23"/>
      </w:numPr>
      <w:tabs>
        <w:tab w:val="num" w:pos="425"/>
        <w:tab w:val="num" w:pos="1440"/>
      </w:tabs>
      <w:spacing w:before="240" w:after="0" w:line="288" w:lineRule="auto"/>
      <w:contextualSpacing/>
      <w:jc w:val="left"/>
    </w:pPr>
    <w:rPr>
      <w:rFonts w:asciiTheme="majorHAnsi" w:hAnsiTheme="majorHAnsi" w:cs="Times New Roman"/>
      <w:color w:val="C0504D" w:themeColor="accent2"/>
      <w:kern w:val="0"/>
      <w:sz w:val="36"/>
      <w:szCs w:val="28"/>
      <w:u w:val="none"/>
    </w:rPr>
  </w:style>
  <w:style w:type="paragraph" w:customStyle="1" w:styleId="Appendixheading2">
    <w:name w:val="Appendix heading 2"/>
    <w:basedOn w:val="Normal"/>
    <w:next w:val="BodyText"/>
    <w:uiPriority w:val="10"/>
    <w:qFormat/>
    <w:pPr>
      <w:spacing w:before="200" w:after="60" w:line="288" w:lineRule="auto"/>
      <w:ind w:left="851"/>
      <w:jc w:val="left"/>
    </w:pPr>
    <w:rPr>
      <w:rFonts w:ascii="Arial Bold" w:hAnsi="Arial Bold" w:cs="Arial"/>
      <w:b/>
      <w:bCs/>
      <w:color w:val="29235C"/>
      <w:kern w:val="32"/>
      <w:sz w:val="28"/>
      <w:szCs w:val="28"/>
    </w:rPr>
  </w:style>
  <w:style w:type="paragraph" w:customStyle="1" w:styleId="Appendixheading3">
    <w:name w:val="Appendix heading 3"/>
    <w:basedOn w:val="Normal"/>
    <w:next w:val="BodyText"/>
    <w:uiPriority w:val="10"/>
    <w:qFormat/>
    <w:pPr>
      <w:spacing w:before="120" w:line="288" w:lineRule="auto"/>
      <w:ind w:left="851"/>
      <w:jc w:val="left"/>
    </w:pPr>
    <w:rPr>
      <w:rFonts w:asciiTheme="majorHAnsi" w:hAnsiTheme="majorHAnsi" w:cs="Arial"/>
      <w:b/>
      <w:color w:val="1F497D" w:themeColor="text2"/>
      <w:szCs w:val="22"/>
    </w:rPr>
  </w:style>
  <w:style w:type="paragraph" w:customStyle="1" w:styleId="Appendixheading4">
    <w:name w:val="Appendix heading 4"/>
    <w:basedOn w:val="Normal"/>
    <w:next w:val="BodyText"/>
    <w:uiPriority w:val="10"/>
    <w:qFormat/>
    <w:pPr>
      <w:spacing w:before="120" w:line="288" w:lineRule="auto"/>
      <w:ind w:left="851"/>
      <w:jc w:val="left"/>
    </w:pPr>
    <w:rPr>
      <w:rFonts w:asciiTheme="majorHAnsi" w:hAnsiTheme="majorHAnsi" w:cs="Arial"/>
      <w:bCs/>
      <w:iCs/>
      <w:color w:val="1F497D" w:themeColor="text2"/>
      <w:szCs w:val="22"/>
    </w:rPr>
  </w:style>
  <w:style w:type="paragraph" w:customStyle="1" w:styleId="Appendixheading5">
    <w:name w:val="Appendix heading 5"/>
    <w:basedOn w:val="Normal"/>
    <w:next w:val="BodyText"/>
    <w:uiPriority w:val="10"/>
    <w:qFormat/>
    <w:pPr>
      <w:spacing w:before="120" w:line="288" w:lineRule="auto"/>
      <w:ind w:left="851"/>
      <w:jc w:val="left"/>
    </w:pPr>
    <w:rPr>
      <w:rFonts w:asciiTheme="majorHAnsi" w:hAnsiTheme="majorHAnsi" w:cs="Arial"/>
      <w:b/>
      <w:sz w:val="20"/>
      <w:szCs w:val="22"/>
    </w:rPr>
  </w:style>
  <w:style w:type="numbering" w:customStyle="1" w:styleId="CGI-Appendix">
    <w:name w:val="CGI - Appendix"/>
    <w:uiPriority w:val="99"/>
    <w:pPr>
      <w:numPr>
        <w:numId w:val="24"/>
      </w:numPr>
    </w:pPr>
  </w:style>
  <w:style w:type="paragraph" w:customStyle="1" w:styleId="GenericTitle">
    <w:name w:val="Generic Title"/>
    <w:next w:val="BodyText"/>
    <w:uiPriority w:val="11"/>
    <w:qFormat/>
    <w:pPr>
      <w:spacing w:before="240" w:line="288" w:lineRule="auto"/>
    </w:pPr>
    <w:rPr>
      <w:rFonts w:asciiTheme="majorHAnsi" w:hAnsiTheme="majorHAnsi"/>
      <w:b/>
      <w:bCs/>
      <w:color w:val="C0504D" w:themeColor="accent2"/>
      <w:sz w:val="40"/>
      <w:szCs w:val="28"/>
      <w:lang w:val="en-US" w:eastAsia="en-US"/>
    </w:rPr>
  </w:style>
  <w:style w:type="table" w:customStyle="1" w:styleId="CGI-Table">
    <w:name w:val="CGI - Table"/>
    <w:basedOn w:val="TableNormal"/>
    <w:uiPriority w:val="99"/>
    <w:rPr>
      <w:rFonts w:asciiTheme="minorHAnsi" w:hAnsiTheme="minorHAnsi"/>
      <w:sz w:val="16"/>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C0504D"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table" w:customStyle="1" w:styleId="Ombrageclair1">
    <w:name w:val="Ombrage clair1"/>
    <w:basedOn w:val="TableNormal"/>
    <w:uiPriority w:val="60"/>
    <w:rPr>
      <w:rFonts w:ascii="Arial" w:hAnsi="Arial"/>
      <w:color w:val="000000" w:themeColor="text1" w:themeShade="BF"/>
      <w:lang w:val="fr-CA" w:eastAsia="fr-C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rameclaire-Accent11">
    <w:name w:val="Trame claire - Accent 11"/>
    <w:basedOn w:val="TableNormal"/>
    <w:uiPriority w:val="60"/>
    <w:rPr>
      <w:rFonts w:ascii="Arial" w:hAnsi="Arial"/>
      <w:color w:val="365F91" w:themeColor="accent1" w:themeShade="BF"/>
      <w:lang w:val="fr-CA" w:eastAsia="fr-C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Pr>
      <w:rFonts w:ascii="Arial" w:hAnsi="Arial"/>
      <w:color w:val="943634" w:themeColor="accent2" w:themeShade="BF"/>
      <w:lang w:val="fr-CA" w:eastAsia="fr-CA"/>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customStyle="1" w:styleId="TableSubTitle">
    <w:name w:val="Table Sub Title"/>
    <w:basedOn w:val="Normal"/>
    <w:uiPriority w:val="18"/>
    <w:qFormat/>
    <w:pPr>
      <w:spacing w:line="288" w:lineRule="auto"/>
      <w:ind w:left="851"/>
      <w:jc w:val="left"/>
    </w:pPr>
    <w:rPr>
      <w:rFonts w:asciiTheme="minorHAnsi" w:hAnsiTheme="minorHAnsi" w:cs="Arial"/>
      <w:sz w:val="18"/>
      <w:szCs w:val="18"/>
    </w:rPr>
  </w:style>
  <w:style w:type="character" w:styleId="PlaceholderText">
    <w:name w:val="Placeholder Text"/>
    <w:basedOn w:val="DefaultParagraphFont"/>
    <w:uiPriority w:val="99"/>
    <w:semiHidden/>
    <w:rPr>
      <w:color w:val="808080"/>
    </w:rPr>
  </w:style>
  <w:style w:type="paragraph" w:styleId="TOC6">
    <w:name w:val="toc 6"/>
    <w:basedOn w:val="Normal"/>
    <w:next w:val="BodyText"/>
    <w:autoRedefine/>
    <w:uiPriority w:val="39"/>
    <w:unhideWhenUsed/>
    <w:qFormat/>
    <w:pPr>
      <w:ind w:left="1200"/>
      <w:jc w:val="left"/>
    </w:pPr>
    <w:rPr>
      <w:rFonts w:asciiTheme="minorHAnsi" w:hAnsiTheme="minorHAnsi" w:cstheme="minorHAnsi"/>
      <w:sz w:val="20"/>
      <w:szCs w:val="20"/>
    </w:rPr>
  </w:style>
  <w:style w:type="paragraph" w:styleId="TOC7">
    <w:name w:val="toc 7"/>
    <w:basedOn w:val="Normal"/>
    <w:next w:val="BodyText"/>
    <w:autoRedefine/>
    <w:uiPriority w:val="39"/>
    <w:unhideWhenUsed/>
    <w:qFormat/>
    <w:pPr>
      <w:ind w:left="1440"/>
      <w:jc w:val="left"/>
    </w:pPr>
    <w:rPr>
      <w:rFonts w:asciiTheme="minorHAnsi" w:hAnsiTheme="minorHAnsi" w:cstheme="minorHAnsi"/>
      <w:sz w:val="20"/>
      <w:szCs w:val="20"/>
    </w:rPr>
  </w:style>
  <w:style w:type="paragraph" w:customStyle="1" w:styleId="Appendixheading6">
    <w:name w:val="Appendix heading 6"/>
    <w:basedOn w:val="Normal"/>
    <w:next w:val="BodyText"/>
    <w:uiPriority w:val="10"/>
    <w:qFormat/>
    <w:pPr>
      <w:spacing w:before="120" w:line="288" w:lineRule="auto"/>
      <w:ind w:left="851"/>
      <w:jc w:val="left"/>
    </w:pPr>
    <w:rPr>
      <w:rFonts w:asciiTheme="minorHAnsi" w:hAnsiTheme="minorHAnsi" w:cs="Arial"/>
      <w:bCs/>
      <w:iCs/>
      <w:sz w:val="20"/>
      <w:szCs w:val="22"/>
    </w:rPr>
  </w:style>
  <w:style w:type="paragraph" w:customStyle="1" w:styleId="Appendixheading7">
    <w:name w:val="Appendix heading 7"/>
    <w:basedOn w:val="Normal"/>
    <w:next w:val="BodyText"/>
    <w:uiPriority w:val="10"/>
    <w:qFormat/>
    <w:pPr>
      <w:spacing w:before="120" w:line="288" w:lineRule="auto"/>
      <w:ind w:left="851"/>
      <w:jc w:val="left"/>
    </w:pPr>
    <w:rPr>
      <w:rFonts w:asciiTheme="minorHAnsi" w:hAnsiTheme="minorHAnsi" w:cs="Arial"/>
      <w:iCs/>
      <w:caps/>
      <w:sz w:val="16"/>
      <w:szCs w:val="22"/>
    </w:rPr>
  </w:style>
  <w:style w:type="table" w:customStyle="1" w:styleId="CGI-Tableopen">
    <w:name w:val="CGI - Table open"/>
    <w:basedOn w:val="CGI-Table"/>
    <w:uiPriority w:val="99"/>
    <w:qFormat/>
    <w:tbl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nil"/>
          <w:bottom w:val="single" w:sz="4" w:space="0" w:color="000000" w:themeColor="text1"/>
          <w:right w:val="nil"/>
          <w:insideH w:val="single" w:sz="4" w:space="0" w:color="000000" w:themeColor="text1"/>
          <w:insideV w:val="nil"/>
        </w:tcBorders>
        <w:shd w:val="clear" w:color="auto" w:fill="C0504D" w:themeFill="accent2"/>
      </w:tcPr>
    </w:tblStylePr>
    <w:tblStylePr w:type="firstCol">
      <w:rPr>
        <w:rFonts w:asciiTheme="minorHAnsi" w:hAnsiTheme="minorHAnsi"/>
        <w:color w:val="000000" w:themeColor="text1"/>
        <w:sz w:val="16"/>
      </w:rPr>
      <w:tblPr/>
      <w:tcPr>
        <w:tcBorders>
          <w:left w:val="nil"/>
        </w:tcBorders>
      </w:tcPr>
    </w:tblStylePr>
    <w:tblStylePr w:type="lastCol">
      <w:tblPr/>
      <w:tcPr>
        <w:tcBorders>
          <w:right w:val="nil"/>
        </w:tcBorders>
      </w:tcPr>
    </w:tblStylePr>
    <w:tblStylePr w:type="nwCell">
      <w:rPr>
        <w:rFonts w:asciiTheme="majorHAnsi" w:hAnsiTheme="majorHAnsi"/>
        <w:b/>
        <w:color w:val="FFFFFF" w:themeColor="background1"/>
        <w:sz w:val="18"/>
      </w:rPr>
    </w:tblStylePr>
  </w:style>
  <w:style w:type="paragraph" w:customStyle="1" w:styleId="Tablebullet">
    <w:name w:val="Table bullet"/>
    <w:basedOn w:val="TableText0"/>
    <w:uiPriority w:val="18"/>
    <w:qFormat/>
    <w:pPr>
      <w:ind w:left="720" w:hanging="360"/>
    </w:pPr>
  </w:style>
  <w:style w:type="character" w:customStyle="1" w:styleId="headingsmall1">
    <w:name w:val="headingsmall1"/>
    <w:basedOn w:val="DefaultParagraphFont"/>
    <w:rPr>
      <w:rFonts w:ascii="Verdana" w:hAnsi="Verdana" w:hint="default"/>
      <w:b/>
      <w:bCs/>
      <w:sz w:val="24"/>
      <w:szCs w:val="24"/>
    </w:rPr>
  </w:style>
  <w:style w:type="character" w:customStyle="1" w:styleId="red1">
    <w:name w:val="red1"/>
    <w:basedOn w:val="DefaultParagraphFont"/>
    <w:rPr>
      <w:strike w:val="0"/>
      <w:dstrike w:val="0"/>
      <w:color w:val="0000FF"/>
      <w:u w:val="none"/>
      <w:effect w:val="none"/>
    </w:rPr>
  </w:style>
  <w:style w:type="paragraph" w:customStyle="1" w:styleId="docID">
    <w:name w:val="_docID"/>
    <w:basedOn w:val="Normal"/>
    <w:pPr>
      <w:overflowPunct w:val="0"/>
      <w:autoSpaceDE w:val="0"/>
      <w:autoSpaceDN w:val="0"/>
      <w:adjustRightInd w:val="0"/>
      <w:ind w:left="851"/>
      <w:jc w:val="left"/>
      <w:textAlignment w:val="baseline"/>
    </w:pPr>
    <w:rPr>
      <w:rFonts w:ascii="Arial" w:hAnsi="Arial" w:cs="Arial"/>
      <w:szCs w:val="18"/>
    </w:rPr>
  </w:style>
  <w:style w:type="paragraph" w:customStyle="1" w:styleId="issue">
    <w:name w:val="_issue"/>
    <w:basedOn w:val="Normal"/>
    <w:pPr>
      <w:overflowPunct w:val="0"/>
      <w:autoSpaceDE w:val="0"/>
      <w:autoSpaceDN w:val="0"/>
      <w:adjustRightInd w:val="0"/>
      <w:ind w:left="851"/>
      <w:jc w:val="left"/>
      <w:textAlignment w:val="baseline"/>
    </w:pPr>
    <w:rPr>
      <w:rFonts w:ascii="Arial" w:hAnsi="Arial" w:cs="Arial"/>
      <w:szCs w:val="18"/>
    </w:rPr>
  </w:style>
  <w:style w:type="paragraph" w:customStyle="1" w:styleId="datetext">
    <w:name w:val="_datetext"/>
    <w:basedOn w:val="Normal"/>
    <w:pPr>
      <w:overflowPunct w:val="0"/>
      <w:autoSpaceDE w:val="0"/>
      <w:autoSpaceDN w:val="0"/>
      <w:adjustRightInd w:val="0"/>
      <w:ind w:left="851"/>
      <w:jc w:val="left"/>
      <w:textAlignment w:val="baseline"/>
    </w:pPr>
    <w:rPr>
      <w:rFonts w:ascii="Arial" w:hAnsi="Arial" w:cs="Arial"/>
      <w:szCs w:val="18"/>
    </w:rPr>
  </w:style>
  <w:style w:type="paragraph" w:styleId="NormalIndent">
    <w:name w:val="Normal Indent"/>
    <w:basedOn w:val="Normal"/>
    <w:link w:val="NormalIndentChar"/>
    <w:pPr>
      <w:overflowPunct w:val="0"/>
      <w:autoSpaceDE w:val="0"/>
      <w:autoSpaceDN w:val="0"/>
      <w:adjustRightInd w:val="0"/>
      <w:spacing w:after="240"/>
      <w:ind w:left="851"/>
      <w:textAlignment w:val="baseline"/>
    </w:pPr>
    <w:rPr>
      <w:rFonts w:cs="Arial"/>
      <w:szCs w:val="18"/>
    </w:rPr>
  </w:style>
  <w:style w:type="paragraph" w:customStyle="1" w:styleId="Guidance">
    <w:name w:val="Guidance"/>
    <w:basedOn w:val="NormalIndent"/>
    <w:pPr>
      <w:jc w:val="left"/>
    </w:pPr>
    <w:rPr>
      <w:i/>
      <w:iCs/>
      <w:color w:val="0000FF"/>
    </w:rPr>
  </w:style>
  <w:style w:type="paragraph" w:customStyle="1" w:styleId="Heading0">
    <w:name w:val="Heading 0"/>
    <w:basedOn w:val="Normal"/>
    <w:pPr>
      <w:keepNext/>
      <w:keepLines/>
      <w:overflowPunct w:val="0"/>
      <w:autoSpaceDE w:val="0"/>
      <w:autoSpaceDN w:val="0"/>
      <w:adjustRightInd w:val="0"/>
      <w:spacing w:after="120"/>
      <w:ind w:left="851"/>
      <w:jc w:val="left"/>
      <w:textAlignment w:val="baseline"/>
    </w:pPr>
    <w:rPr>
      <w:rFonts w:ascii="Arial" w:hAnsi="Arial" w:cs="Arial"/>
      <w:b/>
      <w:bCs/>
      <w:szCs w:val="28"/>
    </w:rPr>
  </w:style>
  <w:style w:type="character" w:customStyle="1" w:styleId="PlainTable31">
    <w:name w:val="Plain Table 31"/>
    <w:uiPriority w:val="99"/>
    <w:qFormat/>
    <w:rPr>
      <w:i/>
      <w:iCs/>
    </w:rPr>
  </w:style>
  <w:style w:type="paragraph" w:customStyle="1" w:styleId="Cover-Clientname">
    <w:name w:val="Cover - Client name"/>
    <w:basedOn w:val="Normal"/>
    <w:next w:val="BodyText"/>
    <w:uiPriority w:val="99"/>
    <w:qFormat/>
    <w:pPr>
      <w:ind w:left="851"/>
      <w:jc w:val="left"/>
    </w:pPr>
    <w:rPr>
      <w:rFonts w:ascii="Arial" w:hAnsi="Arial" w:cs="Arial"/>
      <w:b/>
      <w:color w:val="E31937"/>
      <w:sz w:val="64"/>
      <w:szCs w:val="48"/>
    </w:rPr>
  </w:style>
  <w:style w:type="paragraph" w:customStyle="1" w:styleId="BodyText0">
    <w:name w:val="BodyText"/>
    <w:link w:val="BodyTextChar0"/>
    <w:pPr>
      <w:spacing w:before="120" w:line="320" w:lineRule="exact"/>
      <w:jc w:val="both"/>
    </w:pPr>
    <w:rPr>
      <w:rFonts w:ascii="Verdana" w:hAnsi="Verdana" w:cs="Arial"/>
      <w:bCs/>
      <w:spacing w:val="-10"/>
      <w:sz w:val="18"/>
      <w:szCs w:val="18"/>
      <w:lang w:eastAsia="en-US"/>
    </w:rPr>
  </w:style>
  <w:style w:type="table" w:customStyle="1" w:styleId="TableLogica">
    <w:name w:val="Table Logica"/>
    <w:basedOn w:val="TableNormal"/>
    <w:rPr>
      <w:rFonts w:ascii="Verdana" w:eastAsia="PMingLiU" w:hAnsi="Verdana"/>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tblPr/>
      <w:tcPr>
        <w:shd w:val="clear" w:color="auto" w:fill="FFFFFF"/>
      </w:tcPr>
    </w:tblStylePr>
    <w:tblStylePr w:type="firstCol">
      <w:tblPr>
        <w:tblCellMar>
          <w:top w:w="0" w:type="dxa"/>
          <w:left w:w="0" w:type="dxa"/>
          <w:bottom w:w="57" w:type="dxa"/>
          <w:right w:w="85" w:type="dxa"/>
        </w:tblCellMar>
      </w:tblPr>
    </w:tblStylePr>
  </w:style>
  <w:style w:type="character" w:customStyle="1" w:styleId="BodyTextChar0">
    <w:name w:val="BodyText Char"/>
    <w:link w:val="BodyText0"/>
    <w:rPr>
      <w:rFonts w:ascii="Verdana" w:hAnsi="Verdana" w:cs="Arial"/>
      <w:bCs/>
      <w:spacing w:val="-10"/>
      <w:sz w:val="18"/>
      <w:szCs w:val="18"/>
      <w:lang w:eastAsia="en-US"/>
    </w:rPr>
  </w:style>
  <w:style w:type="table" w:customStyle="1" w:styleId="TableLogica1">
    <w:name w:val="Table Logica1"/>
    <w:basedOn w:val="TableNormal"/>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table" w:customStyle="1" w:styleId="TableLogica2">
    <w:name w:val="Table Logica2"/>
    <w:basedOn w:val="TableNormal"/>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paragraph" w:styleId="TOC8">
    <w:name w:val="toc 8"/>
    <w:basedOn w:val="Normal"/>
    <w:next w:val="Normal"/>
    <w:autoRedefine/>
    <w:uiPriority w:val="39"/>
    <w:unhideWhenUsed/>
    <w:pPr>
      <w:ind w:left="1680"/>
      <w:jc w:val="left"/>
    </w:pPr>
    <w:rPr>
      <w:rFonts w:asciiTheme="minorHAnsi" w:hAnsiTheme="minorHAnsi" w:cstheme="minorHAnsi"/>
      <w:sz w:val="20"/>
      <w:szCs w:val="20"/>
    </w:rPr>
  </w:style>
  <w:style w:type="paragraph" w:styleId="TOC9">
    <w:name w:val="toc 9"/>
    <w:basedOn w:val="Normal"/>
    <w:next w:val="Normal"/>
    <w:autoRedefine/>
    <w:uiPriority w:val="39"/>
    <w:unhideWhenUsed/>
    <w:pPr>
      <w:ind w:left="1920"/>
      <w:jc w:val="left"/>
    </w:pPr>
    <w:rPr>
      <w:rFonts w:asciiTheme="minorHAnsi" w:hAnsiTheme="minorHAnsi" w:cstheme="minorHAnsi"/>
      <w:sz w:val="20"/>
      <w:szCs w:val="20"/>
    </w:rPr>
  </w:style>
  <w:style w:type="paragraph" w:customStyle="1" w:styleId="DecimalAligned">
    <w:name w:val="Decimal Aligned"/>
    <w:basedOn w:val="Normal"/>
    <w:uiPriority w:val="99"/>
    <w:pPr>
      <w:tabs>
        <w:tab w:val="decimal" w:pos="360"/>
      </w:tabs>
      <w:spacing w:after="200" w:line="276" w:lineRule="auto"/>
      <w:ind w:left="851"/>
      <w:jc w:val="left"/>
    </w:pPr>
    <w:rPr>
      <w:rFonts w:ascii="Calibri" w:hAnsi="Calibri" w:cs="Arial"/>
      <w:sz w:val="18"/>
      <w:szCs w:val="22"/>
      <w:lang w:val="en-US"/>
    </w:rPr>
  </w:style>
  <w:style w:type="character" w:customStyle="1" w:styleId="CommentTextChar1">
    <w:name w:val="Comment Text Char1"/>
    <w:basedOn w:val="DefaultParagraphFont"/>
    <w:uiPriority w:val="99"/>
    <w:semiHidden/>
    <w:rPr>
      <w:rFonts w:ascii="Arial" w:hAnsi="Arial"/>
      <w:lang w:eastAsia="en-US"/>
    </w:rPr>
  </w:style>
  <w:style w:type="character" w:customStyle="1" w:styleId="EndnoteTextChar">
    <w:name w:val="Endnote Text Char"/>
    <w:basedOn w:val="DefaultParagraphFont"/>
    <w:link w:val="EndnoteText"/>
    <w:uiPriority w:val="99"/>
    <w:rPr>
      <w:sz w:val="24"/>
      <w:lang w:eastAsia="en-US"/>
    </w:rPr>
  </w:style>
  <w:style w:type="paragraph" w:customStyle="1" w:styleId="xl64">
    <w:name w:val="xl64"/>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5">
    <w:name w:val="xl65"/>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6">
    <w:name w:val="xl66"/>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7">
    <w:name w:val="xl67"/>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8">
    <w:name w:val="xl68"/>
    <w:basedOn w:val="Normal"/>
    <w:pPr>
      <w:spacing w:before="100" w:beforeAutospacing="1" w:after="100" w:afterAutospacing="1"/>
      <w:ind w:left="851"/>
      <w:jc w:val="center"/>
    </w:pPr>
    <w:rPr>
      <w:rFonts w:cs="Arial"/>
      <w:szCs w:val="18"/>
      <w:lang w:eastAsia="en-GB"/>
    </w:rPr>
  </w:style>
  <w:style w:type="paragraph" w:customStyle="1" w:styleId="BBBodyTextIndent2">
    <w:name w:val="B&amp;B Body Text Indent 2"/>
    <w:basedOn w:val="Normal"/>
    <w:uiPriority w:val="99"/>
    <w:pPr>
      <w:spacing w:after="240" w:line="276" w:lineRule="auto"/>
      <w:ind w:left="720"/>
      <w:outlineLvl w:val="1"/>
    </w:pPr>
    <w:rPr>
      <w:rFonts w:ascii="Arial" w:eastAsia="Arial" w:hAnsi="Arial" w:cs="Arial"/>
      <w:sz w:val="18"/>
      <w:szCs w:val="22"/>
    </w:rPr>
  </w:style>
  <w:style w:type="paragraph" w:customStyle="1" w:styleId="BBScheduleHeading1">
    <w:name w:val="B&amp;B Schedule Heading 1"/>
    <w:next w:val="Normal"/>
    <w:pPr>
      <w:keepNext/>
      <w:numPr>
        <w:ilvl w:val="1"/>
        <w:numId w:val="25"/>
      </w:numPr>
      <w:tabs>
        <w:tab w:val="clear" w:pos="720"/>
      </w:tabs>
      <w:spacing w:before="120" w:after="240"/>
      <w:jc w:val="both"/>
      <w:outlineLvl w:val="0"/>
    </w:pPr>
    <w:rPr>
      <w:rFonts w:ascii="Georgia" w:hAnsi="Georgia"/>
      <w:b/>
      <w:sz w:val="22"/>
    </w:rPr>
  </w:style>
  <w:style w:type="paragraph" w:customStyle="1" w:styleId="BBSchedule3">
    <w:name w:val="B&amp;B Schedule 3"/>
    <w:basedOn w:val="BodyText"/>
    <w:pPr>
      <w:numPr>
        <w:ilvl w:val="3"/>
        <w:numId w:val="25"/>
      </w:numPr>
      <w:spacing w:after="240" w:line="276" w:lineRule="auto"/>
      <w:outlineLvl w:val="2"/>
    </w:pPr>
    <w:rPr>
      <w:rFonts w:ascii="Arial" w:eastAsia="Arial" w:hAnsi="Arial" w:cs="Arial"/>
      <w:b/>
      <w:sz w:val="22"/>
      <w:szCs w:val="16"/>
    </w:rPr>
  </w:style>
  <w:style w:type="paragraph" w:customStyle="1" w:styleId="BBSchedule4">
    <w:name w:val="B&amp;B Schedule 4"/>
    <w:basedOn w:val="BodyText"/>
    <w:pPr>
      <w:numPr>
        <w:ilvl w:val="4"/>
        <w:numId w:val="25"/>
      </w:numPr>
      <w:spacing w:after="240" w:line="276" w:lineRule="auto"/>
      <w:outlineLvl w:val="3"/>
    </w:pPr>
    <w:rPr>
      <w:rFonts w:ascii="Arial" w:eastAsia="Arial" w:hAnsi="Arial" w:cs="Arial"/>
      <w:b/>
      <w:sz w:val="22"/>
      <w:szCs w:val="16"/>
    </w:rPr>
  </w:style>
  <w:style w:type="paragraph" w:customStyle="1" w:styleId="BBSchedule5">
    <w:name w:val="B&amp;B Schedule 5"/>
    <w:basedOn w:val="BodyText"/>
    <w:pPr>
      <w:numPr>
        <w:ilvl w:val="5"/>
        <w:numId w:val="25"/>
      </w:numPr>
      <w:spacing w:after="240" w:line="276" w:lineRule="auto"/>
      <w:outlineLvl w:val="4"/>
    </w:pPr>
    <w:rPr>
      <w:rFonts w:ascii="Arial" w:eastAsia="Arial" w:hAnsi="Arial" w:cs="Arial"/>
      <w:b/>
      <w:sz w:val="22"/>
      <w:szCs w:val="16"/>
    </w:rPr>
  </w:style>
  <w:style w:type="paragraph" w:customStyle="1" w:styleId="BBSchedule6">
    <w:name w:val="B&amp;B Schedule 6"/>
    <w:basedOn w:val="BodyText"/>
    <w:pPr>
      <w:numPr>
        <w:ilvl w:val="6"/>
        <w:numId w:val="25"/>
      </w:numPr>
      <w:spacing w:after="240" w:line="276" w:lineRule="auto"/>
      <w:outlineLvl w:val="5"/>
    </w:pPr>
    <w:rPr>
      <w:rFonts w:ascii="Arial" w:eastAsia="Arial" w:hAnsi="Arial" w:cs="Arial"/>
      <w:b/>
      <w:sz w:val="22"/>
      <w:szCs w:val="16"/>
    </w:rPr>
  </w:style>
  <w:style w:type="paragraph" w:customStyle="1" w:styleId="BBScheduleTitle">
    <w:name w:val="B&amp;B Schedule Title"/>
    <w:basedOn w:val="BodyText"/>
    <w:next w:val="Normal"/>
    <w:pPr>
      <w:keepNext/>
      <w:pageBreakBefore/>
      <w:numPr>
        <w:numId w:val="25"/>
      </w:numPr>
      <w:spacing w:after="240" w:line="276" w:lineRule="auto"/>
      <w:ind w:left="851"/>
      <w:jc w:val="center"/>
    </w:pPr>
    <w:rPr>
      <w:rFonts w:ascii="Arial" w:eastAsia="Arial" w:hAnsi="Arial" w:cs="Arial"/>
      <w:sz w:val="22"/>
      <w:szCs w:val="16"/>
    </w:rPr>
  </w:style>
  <w:style w:type="paragraph" w:customStyle="1" w:styleId="BBScheduleHeading2">
    <w:name w:val="B&amp;B Schedule Heading 2"/>
    <w:next w:val="BBBodyTextIndent2"/>
    <w:pPr>
      <w:keepNext/>
      <w:numPr>
        <w:ilvl w:val="2"/>
        <w:numId w:val="25"/>
      </w:numPr>
      <w:spacing w:before="120" w:after="240"/>
      <w:jc w:val="both"/>
      <w:outlineLvl w:val="1"/>
    </w:pPr>
    <w:rPr>
      <w:rFonts w:ascii="Georgia" w:hAnsi="Georgia"/>
      <w:b/>
      <w:sz w:val="22"/>
    </w:rPr>
  </w:style>
  <w:style w:type="character" w:customStyle="1" w:styleId="NormalIndentChar">
    <w:name w:val="Normal Indent Char"/>
    <w:link w:val="NormalIndent"/>
    <w:rPr>
      <w:rFonts w:cs="Arial"/>
      <w:sz w:val="24"/>
      <w:szCs w:val="18"/>
      <w:lang w:eastAsia="en-US"/>
    </w:rPr>
  </w:style>
  <w:style w:type="character" w:customStyle="1" w:styleId="MediumGrid2-Accent1Char">
    <w:name w:val="Medium Grid 2 - Accent 1 Char"/>
    <w:link w:val="MediumGrid2-Accent1"/>
    <w:uiPriority w:val="1"/>
    <w:rPr>
      <w:rFonts w:ascii="Arial" w:hAnsi="Arial"/>
      <w:szCs w:val="22"/>
      <w:lang w:eastAsia="en-US"/>
    </w:rPr>
  </w:style>
  <w:style w:type="character" w:customStyle="1" w:styleId="MediumShading1-Accent3Char">
    <w:name w:val="Medium Shading 1 - Accent 3 Char"/>
    <w:link w:val="MediumShading1-Accent3"/>
    <w:uiPriority w:val="2"/>
    <w:rPr>
      <w:rFonts w:ascii="Arial" w:hAnsi="Arial"/>
      <w:i/>
      <w:iCs/>
      <w:color w:val="991F3D"/>
      <w:sz w:val="28"/>
      <w:szCs w:val="22"/>
      <w:lang w:val="en-US" w:eastAsia="en-US"/>
    </w:rPr>
  </w:style>
  <w:style w:type="character" w:customStyle="1" w:styleId="MediumShading2-Accent3Char">
    <w:name w:val="Medium Shading 2 - Accent 3 Char"/>
    <w:link w:val="MediumShading2-Accent3"/>
    <w:uiPriority w:val="2"/>
    <w:rPr>
      <w:rFonts w:ascii="Arial" w:hAnsi="Arial"/>
      <w:b/>
      <w:bCs/>
      <w:i/>
      <w:iCs/>
      <w:szCs w:val="22"/>
      <w:lang w:val="en-US" w:eastAsia="en-US"/>
    </w:rPr>
  </w:style>
  <w:style w:type="character" w:customStyle="1" w:styleId="PlainTable41">
    <w:name w:val="Plain Table 41"/>
    <w:uiPriority w:val="2"/>
    <w:semiHidden/>
    <w:rPr>
      <w:b/>
      <w:bCs/>
    </w:rPr>
  </w:style>
  <w:style w:type="character" w:customStyle="1" w:styleId="PlainTable51">
    <w:name w:val="Plain Table 51"/>
    <w:uiPriority w:val="2"/>
    <w:semiHidden/>
    <w:rPr>
      <w:smallCaps/>
    </w:rPr>
  </w:style>
  <w:style w:type="character" w:customStyle="1" w:styleId="TableGridLight1">
    <w:name w:val="Table Grid Light1"/>
    <w:uiPriority w:val="2"/>
    <w:semiHidden/>
    <w:rPr>
      <w:smallCaps/>
      <w:spacing w:val="5"/>
      <w:u w:val="single"/>
    </w:rPr>
  </w:style>
  <w:style w:type="character" w:customStyle="1" w:styleId="GridTable1Light1">
    <w:name w:val="Grid Table 1 Light1"/>
    <w:uiPriority w:val="33"/>
    <w:semiHidden/>
    <w:rPr>
      <w:i/>
      <w:iCs/>
      <w:smallCaps/>
      <w:spacing w:val="5"/>
    </w:rPr>
  </w:style>
  <w:style w:type="paragraph" w:customStyle="1" w:styleId="GridTable31">
    <w:name w:val="Grid Table 31"/>
    <w:basedOn w:val="Heading1"/>
    <w:next w:val="BodyText"/>
    <w:uiPriority w:val="39"/>
    <w:unhideWhenUsed/>
    <w:qFormat/>
    <w:pPr>
      <w:keepLines/>
      <w:pageBreakBefore/>
      <w:widowControl/>
      <w:numPr>
        <w:numId w:val="0"/>
      </w:numPr>
      <w:spacing w:before="240" w:after="0" w:line="288" w:lineRule="auto"/>
      <w:contextualSpacing/>
      <w:jc w:val="left"/>
      <w:outlineLvl w:val="9"/>
    </w:pPr>
    <w:rPr>
      <w:rFonts w:ascii="Arial" w:hAnsi="Arial" w:cs="Times New Roman"/>
      <w:color w:val="991F3D"/>
      <w:kern w:val="0"/>
      <w:sz w:val="40"/>
      <w:szCs w:val="28"/>
      <w:u w:val="none"/>
      <w:lang w:bidi="en-US"/>
    </w:rPr>
  </w:style>
  <w:style w:type="table" w:styleId="ColorfulGrid-Accent3">
    <w:name w:val="Colorful Grid Accent 3"/>
    <w:basedOn w:val="TableNormal"/>
    <w:uiPriority w:val="60"/>
    <w:rPr>
      <w:rFonts w:ascii="Arial" w:hAnsi="Arial"/>
      <w:color w:val="72172D"/>
    </w:rPr>
    <w:tblPr>
      <w:tblStyleRowBandSize w:val="1"/>
      <w:tblStyleColBandSize w:val="1"/>
      <w:tblBorders>
        <w:top w:val="single" w:sz="8" w:space="0" w:color="991F3D"/>
        <w:bottom w:val="single" w:sz="8" w:space="0" w:color="991F3D"/>
      </w:tblBorders>
    </w:tblPr>
    <w:tblStylePr w:type="fir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la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BBC8"/>
      </w:tcPr>
    </w:tblStylePr>
    <w:tblStylePr w:type="band1Horz">
      <w:tblPr/>
      <w:tcPr>
        <w:tcBorders>
          <w:left w:val="nil"/>
          <w:right w:val="nil"/>
          <w:insideH w:val="nil"/>
          <w:insideV w:val="nil"/>
        </w:tcBorders>
        <w:shd w:val="clear" w:color="auto" w:fill="F1BBC8"/>
      </w:tcPr>
    </w:tblStylePr>
  </w:style>
  <w:style w:type="character" w:customStyle="1" w:styleId="LightGrid-Accent3Char">
    <w:name w:val="Light Grid - Accent 3 Char"/>
    <w:link w:val="LightGrid-Accent3"/>
    <w:uiPriority w:val="99"/>
    <w:locked/>
    <w:rPr>
      <w:rFonts w:ascii="Arial" w:hAnsi="Arial"/>
      <w:szCs w:val="22"/>
      <w:lang w:val="en-GB" w:eastAsia="en-US"/>
    </w:rPr>
  </w:style>
  <w:style w:type="paragraph" w:customStyle="1" w:styleId="font5">
    <w:name w:val="font5"/>
    <w:basedOn w:val="Normal"/>
    <w:pPr>
      <w:spacing w:before="100" w:beforeAutospacing="1" w:after="100" w:afterAutospacing="1"/>
      <w:ind w:left="851"/>
      <w:jc w:val="left"/>
    </w:pPr>
    <w:rPr>
      <w:rFonts w:ascii="Calibri" w:hAnsi="Calibri" w:cs="Arial"/>
      <w:color w:val="000000"/>
      <w:sz w:val="20"/>
      <w:szCs w:val="20"/>
    </w:rPr>
  </w:style>
  <w:style w:type="paragraph" w:customStyle="1" w:styleId="font6">
    <w:name w:val="font6"/>
    <w:basedOn w:val="Normal"/>
    <w:pPr>
      <w:spacing w:before="100" w:beforeAutospacing="1" w:after="100" w:afterAutospacing="1"/>
      <w:ind w:left="851"/>
      <w:jc w:val="left"/>
    </w:pPr>
    <w:rPr>
      <w:rFonts w:ascii="Calibri" w:hAnsi="Calibri" w:cs="Arial"/>
      <w:color w:val="000000"/>
      <w:sz w:val="20"/>
      <w:szCs w:val="20"/>
    </w:rPr>
  </w:style>
  <w:style w:type="paragraph" w:customStyle="1" w:styleId="xl69">
    <w:name w:val="xl69"/>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0">
    <w:name w:val="xl70"/>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1">
    <w:name w:val="xl71"/>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center"/>
    </w:pPr>
    <w:rPr>
      <w:rFonts w:ascii="Times" w:hAnsi="Times" w:cs="Arial"/>
      <w:color w:val="000000"/>
      <w:sz w:val="20"/>
      <w:szCs w:val="20"/>
    </w:rPr>
  </w:style>
  <w:style w:type="paragraph" w:customStyle="1" w:styleId="xl72">
    <w:name w:val="xl72"/>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3">
    <w:name w:val="xl73"/>
    <w:basedOn w:val="Normal"/>
    <w:pPr>
      <w:spacing w:before="100" w:beforeAutospacing="1" w:after="100" w:afterAutospacing="1"/>
      <w:ind w:left="851"/>
      <w:jc w:val="left"/>
      <w:textAlignment w:val="top"/>
    </w:pPr>
    <w:rPr>
      <w:rFonts w:ascii="Times" w:hAnsi="Times" w:cs="Arial"/>
      <w:sz w:val="20"/>
      <w:szCs w:val="20"/>
    </w:rPr>
  </w:style>
  <w:style w:type="character" w:customStyle="1" w:styleId="ColorfulList-Accent1Char">
    <w:name w:val="Colorful List - Accent 1 Char"/>
    <w:link w:val="ColorfulList-Accent1"/>
    <w:uiPriority w:val="99"/>
    <w:locked/>
    <w:rPr>
      <w:szCs w:val="22"/>
    </w:rPr>
  </w:style>
  <w:style w:type="table" w:styleId="MediumGrid2-Accent1">
    <w:name w:val="Medium Grid 2 Accent 1"/>
    <w:basedOn w:val="TableNormal"/>
    <w:link w:val="MediumGrid2-Accent1Char"/>
    <w:uiPriority w:val="1"/>
    <w:rPr>
      <w:rFonts w:ascii="Arial" w:hAnsi="Arial"/>
      <w:szCs w:val="22"/>
      <w:lang w:eastAsia="en-US"/>
    </w:rPr>
    <w:tblPr>
      <w:tblStyleRowBandSize w:val="1"/>
      <w:tblStyleColBandSize w:val="1"/>
      <w:tblBorders>
        <w:top w:val="single" w:sz="8" w:space="0" w:color="E31937"/>
        <w:left w:val="single" w:sz="8" w:space="0" w:color="E31937"/>
        <w:bottom w:val="single" w:sz="8" w:space="0" w:color="E31937"/>
        <w:right w:val="single" w:sz="8" w:space="0" w:color="E31937"/>
        <w:insideH w:val="single" w:sz="8" w:space="0" w:color="E31937"/>
        <w:insideV w:val="single" w:sz="8" w:space="0" w:color="E31937"/>
      </w:tblBorders>
    </w:tblPr>
    <w:tcPr>
      <w:shd w:val="clear" w:color="auto" w:fill="F8C5CC"/>
    </w:tcPr>
    <w:tblStylePr w:type="firstRow">
      <w:tblPr/>
      <w:tcPr>
        <w:shd w:val="clear" w:color="auto" w:fill="FCE8EB"/>
      </w:tcPr>
    </w:tblStylePr>
    <w:tblStylePr w:type="lastRow">
      <w:tblPr/>
      <w:tcPr>
        <w:tcBorders>
          <w:top w:val="single" w:sz="12" w:space="0" w:color="363534"/>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AD0D6"/>
      </w:tcPr>
    </w:tblStylePr>
    <w:tblStylePr w:type="band1Vert">
      <w:tblPr/>
      <w:tcPr>
        <w:shd w:val="clear" w:color="auto" w:fill="F28B99"/>
      </w:tcPr>
    </w:tblStylePr>
    <w:tblStylePr w:type="band1Horz">
      <w:tblPr/>
      <w:tcPr>
        <w:tcBorders>
          <w:insideH w:val="single" w:sz="6" w:space="0" w:color="E31937"/>
          <w:insideV w:val="single" w:sz="6" w:space="0" w:color="E31937"/>
        </w:tcBorders>
        <w:shd w:val="clear" w:color="auto" w:fill="F28B99"/>
      </w:tcPr>
    </w:tblStylePr>
    <w:tblStylePr w:type="nwCell">
      <w:tblPr/>
      <w:tcPr>
        <w:shd w:val="clear" w:color="auto" w:fill="FFFFFF"/>
      </w:tcPr>
    </w:tblStylePr>
  </w:style>
  <w:style w:type="table" w:styleId="MediumShading1-Accent3">
    <w:name w:val="Medium Shading 1 Accent 3"/>
    <w:basedOn w:val="TableNormal"/>
    <w:link w:val="MediumShading1-Accent3Char"/>
    <w:uiPriority w:val="2"/>
    <w:rPr>
      <w:rFonts w:ascii="Arial" w:hAnsi="Arial"/>
      <w:i/>
      <w:iCs/>
      <w:color w:val="991F3D"/>
      <w:sz w:val="28"/>
      <w:szCs w:val="22"/>
      <w:lang w:val="en-US" w:eastAsia="en-US"/>
    </w:rPr>
    <w:tblPr>
      <w:tblStyleRowBandSize w:val="1"/>
      <w:tblStyleColBandSize w:val="1"/>
      <w:tblBorders>
        <w:top w:val="single" w:sz="8" w:space="0" w:color="FF8F40"/>
        <w:left w:val="single" w:sz="8" w:space="0" w:color="FF8F40"/>
        <w:bottom w:val="single" w:sz="8" w:space="0" w:color="FF8F40"/>
        <w:right w:val="single" w:sz="8" w:space="0" w:color="FF8F40"/>
        <w:insideH w:val="single" w:sz="8" w:space="0" w:color="FF8F40"/>
      </w:tblBorders>
    </w:tblPr>
    <w:tblStylePr w:type="firstRow">
      <w:pPr>
        <w:spacing w:before="0" w:after="0" w:line="240" w:lineRule="auto"/>
      </w:pPr>
      <w:tblPr/>
      <w:tcPr>
        <w:tcBorders>
          <w:top w:val="single" w:sz="8" w:space="0" w:color="FF8F40"/>
          <w:left w:val="single" w:sz="8" w:space="0" w:color="FF8F40"/>
          <w:bottom w:val="single" w:sz="8" w:space="0" w:color="FF8F40"/>
          <w:right w:val="single" w:sz="8" w:space="0" w:color="FF8F40"/>
          <w:insideH w:val="nil"/>
          <w:insideV w:val="nil"/>
        </w:tcBorders>
        <w:shd w:val="clear" w:color="auto" w:fill="FF6A00"/>
      </w:tcPr>
    </w:tblStylePr>
    <w:tblStylePr w:type="lastRow">
      <w:pPr>
        <w:spacing w:before="0" w:after="0" w:line="240" w:lineRule="auto"/>
      </w:pPr>
      <w:tblPr/>
      <w:tcPr>
        <w:tcBorders>
          <w:top w:val="double" w:sz="6" w:space="0" w:color="FF8F40"/>
          <w:left w:val="single" w:sz="8" w:space="0" w:color="FF8F40"/>
          <w:bottom w:val="single" w:sz="8" w:space="0" w:color="FF8F40"/>
          <w:right w:val="single" w:sz="8" w:space="0" w:color="FF8F40"/>
          <w:insideH w:val="nil"/>
          <w:insideV w:val="nil"/>
        </w:tcBorders>
      </w:tcPr>
    </w:tblStylePr>
    <w:tblStylePr w:type="band1Vert">
      <w:tblPr/>
      <w:tcPr>
        <w:shd w:val="clear" w:color="auto" w:fill="FFDAC0"/>
      </w:tcPr>
    </w:tblStylePr>
    <w:tblStylePr w:type="band1Horz">
      <w:tblPr/>
      <w:tcPr>
        <w:tcBorders>
          <w:insideH w:val="nil"/>
          <w:insideV w:val="nil"/>
        </w:tcBorders>
        <w:shd w:val="clear" w:color="auto" w:fill="FFDAC0"/>
      </w:tcPr>
    </w:tblStylePr>
    <w:tblStylePr w:type="band2Horz">
      <w:tblPr/>
      <w:tcPr>
        <w:tcBorders>
          <w:insideH w:val="nil"/>
          <w:insideV w:val="nil"/>
        </w:tcBorders>
      </w:tcPr>
    </w:tblStylePr>
  </w:style>
  <w:style w:type="table" w:styleId="MediumShading2-Accent3">
    <w:name w:val="Medium Shading 2 Accent 3"/>
    <w:basedOn w:val="TableNormal"/>
    <w:link w:val="MediumShading2-Accent3Char"/>
    <w:uiPriority w:val="2"/>
    <w:rPr>
      <w:rFonts w:ascii="Arial" w:hAnsi="Arial"/>
      <w:b/>
      <w:bCs/>
      <w:i/>
      <w:iCs/>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FF6A00"/>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tblPr/>
      <w:tcPr>
        <w:tcBorders>
          <w:top w:val="nil"/>
          <w:left w:val="nil"/>
          <w:bottom w:val="single" w:sz="18" w:space="0" w:color="auto"/>
          <w:right w:val="nil"/>
          <w:insideH w:val="nil"/>
          <w:insideV w:val="nil"/>
        </w:tcBorders>
        <w:shd w:val="clear" w:color="auto" w:fill="FF6A00"/>
      </w:tcPr>
    </w:tblStylePr>
    <w:tblStylePr w:type="lastCol">
      <w:tblPr/>
      <w:tcPr>
        <w:tcBorders>
          <w:left w:val="nil"/>
          <w:right w:val="nil"/>
          <w:insideH w:val="nil"/>
          <w:insideV w:val="nil"/>
        </w:tcBorders>
        <w:shd w:val="clear" w:color="auto" w:fill="FF6A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styleId="LightGrid-Accent3">
    <w:name w:val="Light Grid Accent 3"/>
    <w:basedOn w:val="TableNormal"/>
    <w:link w:val="LightGrid-Accent3Char"/>
    <w:uiPriority w:val="99"/>
    <w:rPr>
      <w:rFonts w:ascii="Arial" w:hAnsi="Arial"/>
      <w:szCs w:val="22"/>
      <w:lang w:eastAsia="en-US"/>
    </w:rPr>
    <w:tblPr>
      <w:tblStyleRowBandSize w:val="1"/>
      <w:tblStyleColBandSize w:val="1"/>
      <w:tblBorders>
        <w:top w:val="single" w:sz="8" w:space="0" w:color="FF6A00"/>
        <w:left w:val="single" w:sz="8" w:space="0" w:color="FF6A00"/>
        <w:bottom w:val="single" w:sz="8" w:space="0" w:color="FF6A00"/>
        <w:right w:val="single" w:sz="8" w:space="0" w:color="FF6A00"/>
        <w:insideH w:val="single" w:sz="8" w:space="0" w:color="FF6A00"/>
        <w:insideV w:val="single" w:sz="8" w:space="0" w:color="FF6A00"/>
      </w:tblBorders>
    </w:tblPr>
    <w:tblStylePr w:type="firstRow">
      <w:pPr>
        <w:spacing w:before="0" w:after="0" w:line="240" w:lineRule="auto"/>
      </w:pPr>
      <w:tblPr/>
      <w:tcPr>
        <w:tcBorders>
          <w:top w:val="single" w:sz="8" w:space="0" w:color="FF6A00"/>
          <w:left w:val="single" w:sz="8" w:space="0" w:color="FF6A00"/>
          <w:bottom w:val="single" w:sz="18" w:space="0" w:color="FF6A00"/>
          <w:right w:val="single" w:sz="8" w:space="0" w:color="FF6A00"/>
          <w:insideH w:val="nil"/>
          <w:insideV w:val="single" w:sz="8" w:space="0" w:color="FF6A00"/>
        </w:tcBorders>
      </w:tcPr>
    </w:tblStylePr>
    <w:tblStylePr w:type="lastRow">
      <w:pPr>
        <w:spacing w:before="0" w:after="0" w:line="240" w:lineRule="auto"/>
      </w:pPr>
      <w:tblPr/>
      <w:tcPr>
        <w:tcBorders>
          <w:top w:val="double" w:sz="6" w:space="0" w:color="FF6A00"/>
          <w:left w:val="single" w:sz="8" w:space="0" w:color="FF6A00"/>
          <w:bottom w:val="single" w:sz="8" w:space="0" w:color="FF6A00"/>
          <w:right w:val="single" w:sz="8" w:space="0" w:color="FF6A00"/>
          <w:insideH w:val="nil"/>
          <w:insideV w:val="single" w:sz="8" w:space="0" w:color="FF6A00"/>
        </w:tcBorders>
      </w:tcPr>
    </w:tblStylePr>
    <w:tblStylePr w:type="lastCol">
      <w:tblPr/>
      <w:tcPr>
        <w:tcBorders>
          <w:top w:val="single" w:sz="8" w:space="0" w:color="FF6A00"/>
          <w:left w:val="single" w:sz="8" w:space="0" w:color="FF6A00"/>
          <w:bottom w:val="single" w:sz="8" w:space="0" w:color="FF6A00"/>
          <w:right w:val="single" w:sz="8" w:space="0" w:color="FF6A00"/>
        </w:tcBorders>
      </w:tcPr>
    </w:tblStylePr>
    <w:tblStylePr w:type="band1Vert">
      <w:tblPr/>
      <w:tcPr>
        <w:tcBorders>
          <w:top w:val="single" w:sz="8" w:space="0" w:color="FF6A00"/>
          <w:left w:val="single" w:sz="8" w:space="0" w:color="FF6A00"/>
          <w:bottom w:val="single" w:sz="8" w:space="0" w:color="FF6A00"/>
          <w:right w:val="single" w:sz="8" w:space="0" w:color="FF6A00"/>
        </w:tcBorders>
        <w:shd w:val="clear" w:color="auto" w:fill="FFDAC0"/>
      </w:tcPr>
    </w:tblStylePr>
    <w:tblStylePr w:type="band1Horz">
      <w:tblPr/>
      <w:tcPr>
        <w:tcBorders>
          <w:top w:val="single" w:sz="8" w:space="0" w:color="FF6A00"/>
          <w:left w:val="single" w:sz="8" w:space="0" w:color="FF6A00"/>
          <w:bottom w:val="single" w:sz="8" w:space="0" w:color="FF6A00"/>
          <w:right w:val="single" w:sz="8" w:space="0" w:color="FF6A00"/>
          <w:insideV w:val="single" w:sz="8" w:space="0" w:color="FF6A00"/>
        </w:tcBorders>
        <w:shd w:val="clear" w:color="auto" w:fill="FFDAC0"/>
      </w:tcPr>
    </w:tblStylePr>
    <w:tblStylePr w:type="band2Horz">
      <w:tblPr/>
      <w:tcPr>
        <w:tcBorders>
          <w:top w:val="single" w:sz="8" w:space="0" w:color="FF6A00"/>
          <w:left w:val="single" w:sz="8" w:space="0" w:color="FF6A00"/>
          <w:bottom w:val="single" w:sz="8" w:space="0" w:color="FF6A00"/>
          <w:right w:val="single" w:sz="8" w:space="0" w:color="FF6A00"/>
          <w:insideV w:val="single" w:sz="8" w:space="0" w:color="FF6A00"/>
        </w:tcBorders>
      </w:tcPr>
    </w:tblStylePr>
  </w:style>
  <w:style w:type="table" w:styleId="ColorfulList-Accent1">
    <w:name w:val="Colorful List Accent 1"/>
    <w:basedOn w:val="TableNormal"/>
    <w:link w:val="ColorfulList-Accent1Char"/>
    <w:uiPriority w:val="99"/>
    <w:rPr>
      <w:szCs w:val="22"/>
    </w:rPr>
    <w:tblPr>
      <w:tblStyleRowBandSize w:val="1"/>
      <w:tblStyleColBandSize w:val="1"/>
    </w:tblPr>
    <w:tcPr>
      <w:shd w:val="clear" w:color="auto" w:fill="FCE8EB"/>
    </w:tcPr>
    <w:tblStylePr w:type="firstRow">
      <w:tblPr/>
      <w:tcPr>
        <w:tcBorders>
          <w:bottom w:val="single" w:sz="12" w:space="0" w:color="FFFFFF"/>
        </w:tcBorders>
        <w:shd w:val="clear" w:color="auto" w:fill="7A1830"/>
      </w:tcPr>
    </w:tblStylePr>
    <w:tblStylePr w:type="lastRow">
      <w:tblPr/>
      <w:tcPr>
        <w:tcBorders>
          <w:top w:val="single" w:sz="12" w:space="0" w:color="363534"/>
        </w:tcBorders>
        <w:shd w:val="clear" w:color="auto" w:fill="FFFFFF"/>
      </w:tcPr>
    </w:tblStylePr>
    <w:tblStylePr w:type="band1Vert">
      <w:tblPr/>
      <w:tcPr>
        <w:tcBorders>
          <w:top w:val="nil"/>
          <w:left w:val="nil"/>
          <w:bottom w:val="nil"/>
          <w:right w:val="nil"/>
          <w:insideH w:val="nil"/>
          <w:insideV w:val="nil"/>
        </w:tcBorders>
        <w:shd w:val="clear" w:color="auto" w:fill="F8C5CC"/>
      </w:tcPr>
    </w:tblStylePr>
    <w:tblStylePr w:type="band1Horz">
      <w:tblPr/>
      <w:tcPr>
        <w:shd w:val="clear" w:color="auto" w:fill="FAD0D6"/>
      </w:tcPr>
    </w:tblStylePr>
  </w:style>
  <w:style w:type="paragraph" w:customStyle="1" w:styleId="Tableofcontents">
    <w:name w:val="Table of contents"/>
    <w:basedOn w:val="TOCHeading"/>
    <w:link w:val="TableofcontentsChar"/>
    <w:qFormat/>
    <w:pPr>
      <w:pageBreakBefore/>
      <w:spacing w:before="240" w:line="288" w:lineRule="auto"/>
      <w:contextualSpacing/>
    </w:pPr>
  </w:style>
  <w:style w:type="character" w:customStyle="1" w:styleId="TOCHeadingChar">
    <w:name w:val="TOC Heading Char"/>
    <w:link w:val="TOCHeading"/>
    <w:uiPriority w:val="39"/>
    <w:rPr>
      <w:rFonts w:asciiTheme="majorHAnsi" w:eastAsiaTheme="majorEastAsia" w:hAnsiTheme="majorHAnsi" w:cstheme="majorBidi"/>
      <w:b/>
      <w:bCs/>
      <w:color w:val="365F91" w:themeColor="accent1" w:themeShade="BF"/>
      <w:sz w:val="28"/>
      <w:szCs w:val="28"/>
      <w:lang w:val="en-US" w:eastAsia="ja-JP"/>
    </w:rPr>
  </w:style>
  <w:style w:type="character" w:customStyle="1" w:styleId="TableofcontentsChar">
    <w:name w:val="Table of contents Char"/>
    <w:basedOn w:val="TOCHeadingChar"/>
    <w:link w:val="Tableofcontents"/>
    <w:rPr>
      <w:rFonts w:asciiTheme="majorHAnsi" w:eastAsiaTheme="majorEastAsia" w:hAnsiTheme="majorHAnsi" w:cstheme="majorBidi"/>
      <w:b/>
      <w:bCs/>
      <w:color w:val="365F91" w:themeColor="accent1" w:themeShade="BF"/>
      <w:sz w:val="28"/>
      <w:szCs w:val="28"/>
      <w:lang w:val="en-US" w:eastAsia="ja-JP"/>
    </w:rPr>
  </w:style>
  <w:style w:type="paragraph" w:customStyle="1" w:styleId="DECCBullets">
    <w:name w:val="DECC Bullets"/>
    <w:basedOn w:val="Normal"/>
    <w:uiPriority w:val="99"/>
    <w:pPr>
      <w:numPr>
        <w:numId w:val="26"/>
      </w:numPr>
      <w:spacing w:after="120"/>
      <w:ind w:right="284"/>
      <w:jc w:val="left"/>
    </w:pPr>
    <w:rPr>
      <w:rFonts w:ascii="Arial" w:hAnsi="Arial" w:cs="Arial"/>
      <w:szCs w:val="18"/>
      <w:lang w:eastAsia="en-GB"/>
    </w:rPr>
  </w:style>
  <w:style w:type="numbering" w:customStyle="1" w:styleId="DECCBullet">
    <w:name w:val="DECC Bullet"/>
    <w:pPr>
      <w:numPr>
        <w:numId w:val="31"/>
      </w:numPr>
    </w:pPr>
  </w:style>
  <w:style w:type="table" w:customStyle="1" w:styleId="TableGrid2">
    <w:name w:val="Table Grid2"/>
    <w:basedOn w:val="TableNormal"/>
    <w:next w:val="TableGrid"/>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C-Obligationbold">
    <w:name w:val="DCC - Obligation bold"/>
    <w:basedOn w:val="Normal"/>
    <w:next w:val="DCC-Actor"/>
    <w:pPr>
      <w:widowControl w:val="0"/>
      <w:spacing w:after="220" w:line="360" w:lineRule="auto"/>
      <w:ind w:left="709"/>
      <w:jc w:val="left"/>
      <w:outlineLvl w:val="1"/>
    </w:pPr>
    <w:rPr>
      <w:b/>
      <w:bCs/>
      <w:iCs/>
      <w:lang w:val="en-US"/>
    </w:rPr>
  </w:style>
  <w:style w:type="paragraph" w:customStyle="1" w:styleId="DCC-Actor">
    <w:name w:val="DCC - Actor"/>
    <w:basedOn w:val="DCC-Obligationbold"/>
    <w:qFormat/>
    <w:pPr>
      <w:keepNext/>
    </w:pPr>
    <w:rPr>
      <w:b w:val="0"/>
      <w:vanish/>
      <w:color w:val="0070C0"/>
      <w:lang w:val="en-GB"/>
    </w:rPr>
  </w:style>
  <w:style w:type="paragraph" w:customStyle="1" w:styleId="DCC-Clause">
    <w:name w:val="DCC - Clause"/>
    <w:basedOn w:val="ListParagraph"/>
    <w:pPr>
      <w:widowControl w:val="0"/>
      <w:tabs>
        <w:tab w:val="num" w:pos="709"/>
      </w:tabs>
      <w:spacing w:after="220" w:line="360" w:lineRule="auto"/>
      <w:ind w:left="709" w:hanging="709"/>
      <w:mirrorIndents/>
      <w:outlineLvl w:val="1"/>
    </w:pPr>
    <w:rPr>
      <w:rFonts w:ascii="Times New Roman" w:eastAsia="Times New Roman" w:hAnsi="Times New Roman" w:cs="Times New Roman"/>
      <w:b/>
      <w:bCs/>
      <w:iCs/>
      <w:color w:val="7030A0"/>
      <w:sz w:val="24"/>
      <w:szCs w:val="24"/>
      <w:lang w:val="en-US"/>
    </w:rPr>
  </w:style>
  <w:style w:type="paragraph" w:customStyle="1" w:styleId="DCC-Clausecontinuation">
    <w:name w:val="DCC - Clause continuation"/>
    <w:basedOn w:val="Normal"/>
    <w:pPr>
      <w:widowControl w:val="0"/>
      <w:spacing w:after="220" w:line="360" w:lineRule="auto"/>
      <w:ind w:left="709"/>
      <w:jc w:val="left"/>
      <w:outlineLvl w:val="1"/>
    </w:pPr>
    <w:rPr>
      <w:bCs/>
      <w:iCs/>
      <w:lang w:val="en-US"/>
    </w:rPr>
  </w:style>
  <w:style w:type="paragraph" w:customStyle="1" w:styleId="DCC-a-b-cbullet">
    <w:name w:val="DCC - a-b-c bullet"/>
    <w:basedOn w:val="Normal"/>
    <w:pPr>
      <w:widowControl w:val="0"/>
      <w:tabs>
        <w:tab w:val="num" w:pos="1418"/>
      </w:tabs>
      <w:spacing w:after="220" w:line="360" w:lineRule="auto"/>
      <w:ind w:left="1418" w:hanging="709"/>
      <w:jc w:val="left"/>
      <w:outlineLvl w:val="1"/>
    </w:pPr>
    <w:rPr>
      <w:bCs/>
      <w:iCs/>
      <w:lang w:val="en-US"/>
    </w:rPr>
  </w:style>
  <w:style w:type="paragraph" w:customStyle="1" w:styleId="DCCi-ii-iiiBullet">
    <w:name w:val="DCC i-ii-iii Bullet"/>
    <w:basedOn w:val="Normal"/>
    <w:pPr>
      <w:widowControl w:val="0"/>
      <w:tabs>
        <w:tab w:val="num" w:pos="1985"/>
      </w:tabs>
      <w:spacing w:after="220" w:line="360" w:lineRule="auto"/>
      <w:ind w:left="1985" w:hanging="567"/>
      <w:jc w:val="left"/>
      <w:outlineLvl w:val="1"/>
    </w:pPr>
    <w:rPr>
      <w:bCs/>
      <w:iCs/>
      <w:lang w:val="en-US"/>
    </w:rPr>
  </w:style>
  <w:style w:type="paragraph" w:customStyle="1" w:styleId="DCC-ServiceRequestLevel1Bullet">
    <w:name w:val="DCC - Service Request Level1 Bullet"/>
    <w:basedOn w:val="ListParagraph"/>
    <w:qFormat/>
    <w:pPr>
      <w:widowControl w:val="0"/>
      <w:numPr>
        <w:numId w:val="28"/>
      </w:numPr>
      <w:spacing w:after="240" w:line="360" w:lineRule="auto"/>
      <w:ind w:left="1264" w:hanging="357"/>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DCC-PDbody">
    <w:name w:val="DCC - PD body"/>
    <w:basedOn w:val="Normal"/>
    <w:qFormat/>
    <w:pPr>
      <w:keepNext/>
      <w:widowControl w:val="0"/>
      <w:spacing w:after="220" w:line="360" w:lineRule="auto"/>
      <w:ind w:left="709"/>
      <w:jc w:val="left"/>
      <w:outlineLvl w:val="1"/>
    </w:pPr>
    <w:rPr>
      <w:bCs/>
      <w:iCs/>
      <w:vanish/>
      <w:color w:val="948A54" w:themeColor="background2" w:themeShade="80"/>
    </w:rPr>
  </w:style>
  <w:style w:type="paragraph" w:customStyle="1" w:styleId="DCGindentstyle1">
    <w:name w:val="DCG indent style1"/>
    <w:basedOn w:val="ListParagraph"/>
    <w:qFormat/>
    <w:pPr>
      <w:tabs>
        <w:tab w:val="num" w:pos="360"/>
      </w:tabs>
      <w:spacing w:after="200" w:line="276" w:lineRule="auto"/>
      <w:ind w:left="1211" w:hanging="360"/>
    </w:pPr>
    <w:rPr>
      <w:rFonts w:ascii="Times New Roman" w:eastAsiaTheme="minorHAnsi" w:hAnsi="Times New Roman" w:cs="Times New Roman"/>
      <w:sz w:val="20"/>
      <w:szCs w:val="20"/>
      <w:lang w:eastAsia="en-GB"/>
    </w:rPr>
  </w:style>
  <w:style w:type="paragraph" w:customStyle="1" w:styleId="DCGindentstyle2">
    <w:name w:val="DCG indent style2"/>
    <w:basedOn w:val="ListParagraph"/>
    <w:qFormat/>
    <w:pPr>
      <w:tabs>
        <w:tab w:val="num" w:pos="360"/>
      </w:tabs>
      <w:spacing w:after="200" w:line="276" w:lineRule="auto"/>
      <w:ind w:left="1466" w:hanging="495"/>
    </w:pPr>
    <w:rPr>
      <w:rFonts w:ascii="Times New Roman" w:eastAsiaTheme="minorHAnsi" w:hAnsi="Times New Roman" w:cs="Times New Roman"/>
      <w:sz w:val="20"/>
      <w:szCs w:val="20"/>
      <w:lang w:eastAsia="en-GB"/>
    </w:rPr>
  </w:style>
  <w:style w:type="paragraph" w:customStyle="1" w:styleId="DCC-ServiceRequestLevel2Bullet">
    <w:name w:val="DCC - Service Request Level2 Bullet"/>
    <w:basedOn w:val="ListParagraph"/>
    <w:link w:val="DCC-ServiceRequestLevel2BulletChar"/>
    <w:qFormat/>
    <w:pPr>
      <w:numPr>
        <w:numId w:val="30"/>
      </w:numPr>
      <w:spacing w:after="200" w:line="276" w:lineRule="auto"/>
    </w:pPr>
    <w:rPr>
      <w:color w:val="7030A0"/>
    </w:rPr>
  </w:style>
  <w:style w:type="character" w:customStyle="1" w:styleId="DCC-ServiceRequestLevel2BulletChar">
    <w:name w:val="DCC - Service Request Level2 Bullet Char"/>
    <w:basedOn w:val="ListParagraphChar"/>
    <w:link w:val="DCC-ServiceRequestLevel2Bullet"/>
    <w:rPr>
      <w:rFonts w:ascii="Calibri" w:eastAsia="Calibri" w:hAnsi="Calibri" w:cs="Calibri"/>
      <w:color w:val="7030A0"/>
      <w:sz w:val="22"/>
      <w:szCs w:val="22"/>
      <w:lang w:eastAsia="en-US"/>
    </w:rPr>
  </w:style>
  <w:style w:type="paragraph" w:customStyle="1" w:styleId="DCC-ServceRequestLevel3Bullet">
    <w:name w:val="DCC - Servce Request Level3 Bullet"/>
    <w:basedOn w:val="ListParagraph"/>
    <w:link w:val="DCC-ServceRequestLevel3BulletChar"/>
    <w:qFormat/>
    <w:pPr>
      <w:numPr>
        <w:ilvl w:val="1"/>
        <w:numId w:val="27"/>
      </w:numPr>
      <w:spacing w:after="200" w:line="276" w:lineRule="auto"/>
    </w:pPr>
    <w:rPr>
      <w:color w:val="00B050"/>
    </w:rPr>
  </w:style>
  <w:style w:type="character" w:customStyle="1" w:styleId="DCC-ServceRequestLevel3BulletChar">
    <w:name w:val="DCC - Servce Request Level3 Bullet Char"/>
    <w:basedOn w:val="ListParagraphChar"/>
    <w:link w:val="DCC-ServceRequestLevel3Bullet"/>
    <w:rPr>
      <w:rFonts w:ascii="Calibri" w:eastAsia="Calibri" w:hAnsi="Calibri" w:cs="Calibri"/>
      <w:color w:val="00B050"/>
      <w:sz w:val="22"/>
      <w:szCs w:val="22"/>
      <w:lang w:eastAsia="en-US"/>
    </w:rPr>
  </w:style>
  <w:style w:type="paragraph" w:customStyle="1" w:styleId="DCC-PDBullet">
    <w:name w:val="DCC - PD Bullet"/>
    <w:basedOn w:val="ListParagraph"/>
    <w:qFormat/>
    <w:pPr>
      <w:widowControl w:val="0"/>
      <w:spacing w:after="240" w:line="360" w:lineRule="auto"/>
      <w:ind w:left="1444" w:hanging="735"/>
      <w:contextualSpacing/>
      <w:outlineLvl w:val="1"/>
    </w:pPr>
    <w:rPr>
      <w:rFonts w:ascii="Times New Roman" w:eastAsia="Times New Roman" w:hAnsi="Times New Roman" w:cs="Times New Roman"/>
      <w:bCs/>
      <w:iCs/>
      <w:vanish/>
      <w:color w:val="C0504D" w:themeColor="accent2"/>
      <w:sz w:val="24"/>
      <w:szCs w:val="24"/>
      <w:lang w:val="en-US"/>
    </w:rPr>
  </w:style>
  <w:style w:type="paragraph" w:customStyle="1" w:styleId="Textbox-Bullted">
    <w:name w:val="Text box - Bullted"/>
    <w:basedOn w:val="Normal"/>
    <w:uiPriority w:val="99"/>
    <w:pPr>
      <w:numPr>
        <w:numId w:val="29"/>
      </w:numPr>
      <w:pBdr>
        <w:top w:val="single" w:sz="4" w:space="1" w:color="FFCC99"/>
        <w:left w:val="single" w:sz="4" w:space="4" w:color="FFCC99"/>
        <w:bottom w:val="single" w:sz="4" w:space="1" w:color="FFCC99"/>
        <w:right w:val="single" w:sz="4" w:space="4" w:color="FFCC99"/>
      </w:pBdr>
      <w:shd w:val="clear" w:color="auto" w:fill="EFF9FF"/>
      <w:spacing w:after="288"/>
      <w:jc w:val="left"/>
    </w:pPr>
    <w:rPr>
      <w:rFonts w:ascii="Arial" w:hAnsi="Arial"/>
      <w:szCs w:val="20"/>
    </w:rPr>
  </w:style>
  <w:style w:type="paragraph" w:customStyle="1" w:styleId="smetsxref">
    <w:name w:val="smets xref"/>
    <w:basedOn w:val="ListParagraph"/>
    <w:next w:val="Normal"/>
    <w:link w:val="smetsxrefChar"/>
    <w:qFormat/>
    <w:pPr>
      <w:numPr>
        <w:numId w:val="31"/>
      </w:numPr>
      <w:spacing w:after="200"/>
      <w:contextualSpacing/>
    </w:pPr>
    <w:rPr>
      <w:rFonts w:ascii="Arial" w:eastAsia="Times New Roman" w:hAnsi="Arial" w:cs="Arial"/>
      <w:i/>
    </w:rPr>
  </w:style>
  <w:style w:type="character" w:customStyle="1" w:styleId="smetsxrefChar">
    <w:name w:val="smets xref Char"/>
    <w:basedOn w:val="DefaultParagraphFont"/>
    <w:link w:val="smetsxref"/>
    <w:rPr>
      <w:rFonts w:ascii="Arial" w:hAnsi="Arial" w:cs="Arial"/>
      <w:i/>
      <w:sz w:val="22"/>
      <w:szCs w:val="22"/>
      <w:lang w:eastAsia="en-US"/>
    </w:rPr>
  </w:style>
  <w:style w:type="table" w:customStyle="1" w:styleId="MediumGrid3-Accent41">
    <w:name w:val="Medium Grid 3 - Accent 41"/>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42">
    <w:name w:val="Medium Grid 3 - Accent 42"/>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character" w:customStyle="1" w:styleId="apple-converted-space">
    <w:name w:val="apple-converted-space"/>
    <w:basedOn w:val="DefaultParagraphFont"/>
  </w:style>
  <w:style w:type="table" w:customStyle="1" w:styleId="MediumGrid3-Accent43">
    <w:name w:val="Medium Grid 3 - Accent 43"/>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AppendixHeading">
    <w:name w:val="Appendix Heading"/>
    <w:basedOn w:val="Normal"/>
    <w:pPr>
      <w:keepNext/>
      <w:pageBreakBefore/>
      <w:spacing w:before="240" w:after="120"/>
      <w:ind w:left="360" w:hanging="360"/>
    </w:pPr>
    <w:rPr>
      <w:rFonts w:eastAsiaTheme="minorHAnsi"/>
      <w:b/>
      <w:bCs/>
      <w:sz w:val="32"/>
      <w:szCs w:val="32"/>
    </w:rPr>
  </w:style>
  <w:style w:type="paragraph" w:customStyle="1" w:styleId="AppendixH2">
    <w:name w:val="Appendix H2"/>
    <w:basedOn w:val="Normal"/>
    <w:pPr>
      <w:keepNext/>
      <w:spacing w:before="240" w:after="120" w:line="360" w:lineRule="auto"/>
      <w:ind w:left="2842" w:hanging="432"/>
    </w:pPr>
    <w:rPr>
      <w:rFonts w:eastAsiaTheme="minorHAnsi"/>
      <w:b/>
      <w:bCs/>
    </w:rPr>
  </w:style>
  <w:style w:type="paragraph" w:customStyle="1" w:styleId="AppendixH3">
    <w:name w:val="Appendix H3"/>
    <w:basedOn w:val="Normal"/>
    <w:pPr>
      <w:keepNext/>
      <w:spacing w:before="200" w:after="240"/>
      <w:ind w:left="1224" w:hanging="504"/>
    </w:pPr>
    <w:rPr>
      <w:rFonts w:eastAsiaTheme="minorHAnsi"/>
      <w:b/>
      <w:bCs/>
    </w:rPr>
  </w:style>
  <w:style w:type="numbering" w:customStyle="1" w:styleId="AppendixHeadings">
    <w:name w:val="Appendix Headings"/>
    <w:uiPriority w:val="99"/>
    <w:pPr>
      <w:numPr>
        <w:numId w:val="32"/>
      </w:numPr>
    </w:pPr>
  </w:style>
  <w:style w:type="table" w:customStyle="1" w:styleId="TableGrid3">
    <w:name w:val="Table Grid3"/>
    <w:basedOn w:val="TableNormal"/>
    <w:next w:val="TableGrid"/>
    <w:uiPriority w:val="5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Heading">
    <w:name w:val="H1 Heading"/>
    <w:basedOn w:val="Normal"/>
    <w:pPr>
      <w:tabs>
        <w:tab w:val="num" w:pos="709"/>
      </w:tabs>
      <w:spacing w:after="220" w:line="360" w:lineRule="auto"/>
      <w:ind w:left="709" w:hanging="709"/>
      <w:jc w:val="left"/>
    </w:pPr>
    <w:rPr>
      <w:rFonts w:ascii="Times New Roman Bold" w:eastAsiaTheme="minorHAnsi" w:hAnsi="Times New Roman Bold"/>
      <w:b/>
      <w:bCs/>
      <w:caps/>
      <w:u w:val="single"/>
    </w:rPr>
  </w:style>
  <w:style w:type="paragraph" w:customStyle="1" w:styleId="Clause">
    <w:name w:val="Clause"/>
    <w:basedOn w:val="Normal"/>
    <w:pPr>
      <w:tabs>
        <w:tab w:val="num" w:pos="709"/>
      </w:tabs>
      <w:spacing w:after="220" w:line="360" w:lineRule="auto"/>
      <w:ind w:left="720"/>
      <w:jc w:val="left"/>
    </w:pPr>
    <w:rPr>
      <w:rFonts w:eastAsiaTheme="minorHAnsi"/>
    </w:rPr>
  </w:style>
  <w:style w:type="character" w:customStyle="1" w:styleId="DeltaViewInsertion">
    <w:name w:val="DeltaView Insertion"/>
    <w:uiPriority w:val="99"/>
    <w:rPr>
      <w:color w:val="0000FF"/>
      <w:u w:val="double"/>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paragraph" w:customStyle="1" w:styleId="ODPMLevel1">
    <w:name w:val="ODPM Level 1"/>
    <w:basedOn w:val="Normal"/>
    <w:pPr>
      <w:tabs>
        <w:tab w:val="left" w:pos="-720"/>
      </w:tabs>
      <w:suppressAutoHyphens/>
      <w:spacing w:after="240"/>
      <w:jc w:val="left"/>
    </w:pPr>
    <w:rPr>
      <w:rFonts w:ascii="Arial" w:hAnsi="Arial"/>
      <w:spacing w:val="-2"/>
      <w:szCs w:val="20"/>
      <w:lang w:eastAsia="en-GB"/>
    </w:rPr>
  </w:style>
  <w:style w:type="character" w:customStyle="1" w:styleId="UnresolvedMention3">
    <w:name w:val="Unresolved Mention3"/>
    <w:basedOn w:val="DefaultParagraphFont"/>
    <w:uiPriority w:val="99"/>
    <w:semiHidden/>
    <w:unhideWhenUsed/>
    <w:rPr>
      <w:color w:val="808080"/>
      <w:shd w:val="clear" w:color="auto" w:fill="E6E6E6"/>
    </w:rPr>
  </w:style>
  <w:style w:type="paragraph" w:customStyle="1" w:styleId="Appendixlevel2">
    <w:name w:val="Appendix level 2"/>
    <w:basedOn w:val="Heading2"/>
    <w:link w:val="Appendixlevel2Char"/>
    <w:qFormat/>
    <w:pPr>
      <w:numPr>
        <w:ilvl w:val="0"/>
        <w:numId w:val="33"/>
      </w:numPr>
      <w:tabs>
        <w:tab w:val="left" w:pos="1134"/>
      </w:tabs>
      <w:ind w:left="1134" w:hanging="425"/>
    </w:pPr>
  </w:style>
  <w:style w:type="paragraph" w:customStyle="1" w:styleId="Appendixlevel1">
    <w:name w:val="Appendix level 1"/>
    <w:basedOn w:val="Heading1"/>
    <w:link w:val="Appendixlevel1Char"/>
    <w:qFormat/>
    <w:pPr>
      <w:numPr>
        <w:numId w:val="34"/>
      </w:numPr>
    </w:pPr>
  </w:style>
  <w:style w:type="character" w:customStyle="1" w:styleId="Appendixlevel2Char">
    <w:name w:val="Appendix level 2 Char"/>
    <w:basedOn w:val="Heading2Char"/>
    <w:link w:val="Appendixlevel2"/>
    <w:rPr>
      <w:rFonts w:cs="Arial"/>
      <w:bCs/>
      <w:iCs/>
      <w:sz w:val="24"/>
      <w:szCs w:val="28"/>
      <w:lang w:eastAsia="en-US"/>
    </w:rPr>
  </w:style>
  <w:style w:type="character" w:customStyle="1" w:styleId="Appendixlevel1Char">
    <w:name w:val="Appendix level 1 Char"/>
    <w:basedOn w:val="Heading1Char"/>
    <w:link w:val="Appendixlevel1"/>
    <w:rPr>
      <w:rFonts w:ascii="Times New Roman Bold" w:hAnsi="Times New Roman Bold" w:cs="Arial"/>
      <w:b/>
      <w:bCs/>
      <w:kern w:val="32"/>
      <w:sz w:val="24"/>
      <w:szCs w:val="32"/>
      <w:u w:val="single"/>
      <w:lang w:eastAsia="en-US"/>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cf01">
    <w:name w:val="cf01"/>
    <w:basedOn w:val="DefaultParagraphFont"/>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1DFDD"/>
    </w:rPr>
  </w:style>
  <w:style w:type="paragraph" w:customStyle="1" w:styleId="definition">
    <w:name w:val="definition"/>
    <w:uiPriority w:val="7"/>
    <w:qFormat/>
    <w:pPr>
      <w:numPr>
        <w:numId w:val="35"/>
      </w:numPr>
      <w:spacing w:after="280" w:line="280" w:lineRule="atLeast"/>
      <w:jc w:val="both"/>
    </w:pPr>
    <w:rPr>
      <w:rFonts w:ascii="Arial" w:hAnsi="Arial"/>
    </w:rPr>
  </w:style>
  <w:style w:type="paragraph" w:customStyle="1" w:styleId="definitionsub">
    <w:name w:val="definition sub"/>
    <w:uiPriority w:val="2"/>
    <w:qFormat/>
    <w:pPr>
      <w:numPr>
        <w:ilvl w:val="1"/>
        <w:numId w:val="35"/>
      </w:numPr>
      <w:tabs>
        <w:tab w:val="left" w:pos="567"/>
      </w:tabs>
      <w:spacing w:after="280" w:line="280" w:lineRule="atLeast"/>
      <w:jc w:val="both"/>
    </w:pPr>
    <w:rPr>
      <w:rFonts w:ascii="Arial" w:hAnsi="Arial"/>
    </w:rPr>
  </w:style>
  <w:style w:type="paragraph" w:customStyle="1" w:styleId="TitlePage">
    <w:name w:val="TitlePage"/>
    <w:basedOn w:val="Normal"/>
    <w:rsid w:val="00CA52FC"/>
    <w:pPr>
      <w:spacing w:before="240" w:after="240" w:line="264" w:lineRule="auto"/>
      <w:contextualSpacing/>
      <w:jc w:val="left"/>
    </w:pPr>
    <w:rPr>
      <w:rFonts w:ascii="Expert Sans" w:eastAsiaTheme="minorHAnsi" w:hAnsi="Expert Sans" w:cs="Expert Sans"/>
      <w:color w:val="000000"/>
      <w:sz w:val="19"/>
      <w:szCs w:val="22"/>
      <w:u w:color="000000"/>
    </w:rPr>
  </w:style>
  <w:style w:type="paragraph" w:customStyle="1" w:styleId="paragraph">
    <w:name w:val="paragraph"/>
    <w:basedOn w:val="Normal"/>
    <w:rsid w:val="00B84614"/>
    <w:pPr>
      <w:spacing w:before="100" w:beforeAutospacing="1" w:after="100" w:afterAutospacing="1"/>
      <w:jc w:val="left"/>
    </w:pPr>
    <w:rPr>
      <w:lang w:eastAsia="en-GB"/>
    </w:rPr>
  </w:style>
  <w:style w:type="character" w:customStyle="1" w:styleId="normaltextrun">
    <w:name w:val="normaltextrun"/>
    <w:basedOn w:val="DefaultParagraphFont"/>
    <w:rsid w:val="00B84614"/>
  </w:style>
  <w:style w:type="character" w:customStyle="1" w:styleId="eop">
    <w:name w:val="eop"/>
    <w:basedOn w:val="DefaultParagraphFont"/>
    <w:rsid w:val="00B84614"/>
  </w:style>
  <w:style w:type="character" w:customStyle="1" w:styleId="tabchar">
    <w:name w:val="tabchar"/>
    <w:basedOn w:val="DefaultParagraphFont"/>
    <w:rsid w:val="00B84614"/>
  </w:style>
  <w:style w:type="character" w:styleId="Mention">
    <w:name w:val="Mention"/>
    <w:basedOn w:val="DefaultParagraphFont"/>
    <w:uiPriority w:val="99"/>
    <w:unhideWhenUsed/>
    <w:rsid w:val="00B53E27"/>
    <w:rPr>
      <w:color w:val="2B579A"/>
      <w:shd w:val="clear" w:color="auto" w:fill="E1DFDD"/>
    </w:rPr>
  </w:style>
  <w:style w:type="paragraph" w:customStyle="1" w:styleId="TableParagraphNormal">
    <w:name w:val="TableParagraphNormal"/>
    <w:basedOn w:val="Normal"/>
    <w:rsid w:val="00BD5168"/>
    <w:pPr>
      <w:spacing w:before="60" w:after="60" w:line="264" w:lineRule="auto"/>
      <w:contextualSpacing/>
      <w:jc w:val="left"/>
    </w:pPr>
    <w:rPr>
      <w:rFonts w:ascii="Expert Sans" w:eastAsiaTheme="minorHAnsi" w:hAnsi="Expert Sans" w:cs="Expert Sans"/>
      <w:color w:val="000000"/>
      <w:sz w:val="19"/>
      <w:szCs w:val="22"/>
      <w:u w:color="000000"/>
    </w:rPr>
  </w:style>
  <w:style w:type="character" w:customStyle="1" w:styleId="TitleChar1">
    <w:name w:val="Title Char1"/>
    <w:basedOn w:val="DefaultParagraphFont"/>
    <w:uiPriority w:val="10"/>
    <w:rsid w:val="00DB2EE6"/>
    <w:rPr>
      <w:rFonts w:asciiTheme="majorHAnsi" w:eastAsiaTheme="majorEastAsia" w:hAnsiTheme="majorHAnsi" w:cstheme="majorBidi"/>
      <w:spacing w:val="-10"/>
      <w:kern w:val="28"/>
      <w:sz w:val="56"/>
      <w:szCs w:val="56"/>
      <w:lang w:val="en-GB"/>
    </w:rPr>
  </w:style>
  <w:style w:type="character" w:customStyle="1" w:styleId="SubtitleChar1">
    <w:name w:val="Subtitle Char1"/>
    <w:basedOn w:val="DefaultParagraphFont"/>
    <w:uiPriority w:val="11"/>
    <w:rsid w:val="00DB2EE6"/>
    <w:rPr>
      <w:rFonts w:eastAsiaTheme="majorEastAsia" w:cstheme="majorBidi"/>
      <w:color w:val="595959" w:themeColor="text1" w:themeTint="A6"/>
      <w:spacing w:val="15"/>
      <w:sz w:val="28"/>
      <w:szCs w:val="28"/>
      <w:lang w:val="en-GB"/>
    </w:rPr>
  </w:style>
  <w:style w:type="character" w:customStyle="1" w:styleId="QuoteChar1">
    <w:name w:val="Quote Char1"/>
    <w:basedOn w:val="DefaultParagraphFont"/>
    <w:uiPriority w:val="29"/>
    <w:rsid w:val="00DB2EE6"/>
    <w:rPr>
      <w:i/>
      <w:iCs/>
      <w:color w:val="404040" w:themeColor="text1" w:themeTint="BF"/>
      <w:lang w:val="en-GB"/>
    </w:rPr>
  </w:style>
  <w:style w:type="character" w:customStyle="1" w:styleId="IntenseQuoteChar1">
    <w:name w:val="Intense Quote Char1"/>
    <w:basedOn w:val="DefaultParagraphFont"/>
    <w:uiPriority w:val="30"/>
    <w:rsid w:val="00DB2EE6"/>
    <w:rPr>
      <w:i/>
      <w:iCs/>
      <w:color w:val="365F91" w:themeColor="accent1" w:themeShade="BF"/>
      <w:lang w:val="en-GB"/>
    </w:rPr>
  </w:style>
  <w:style w:type="paragraph" w:customStyle="1" w:styleId="Simple1">
    <w:name w:val="Simple 1"/>
    <w:uiPriority w:val="3"/>
    <w:qFormat/>
    <w:rsid w:val="00DB2EE6"/>
    <w:pPr>
      <w:numPr>
        <w:numId w:val="53"/>
      </w:numPr>
      <w:tabs>
        <w:tab w:val="left" w:pos="6660"/>
      </w:tabs>
      <w:spacing w:after="240" w:line="240" w:lineRule="atLeast"/>
      <w:jc w:val="both"/>
    </w:pPr>
    <w:rPr>
      <w:rFonts w:ascii="Arial" w:eastAsiaTheme="minorHAnsi" w:hAnsi="Arial" w:cstheme="minorBidi"/>
      <w:lang w:eastAsia="en-US"/>
    </w:rPr>
  </w:style>
  <w:style w:type="paragraph" w:customStyle="1" w:styleId="Simple2">
    <w:name w:val="Simple 2"/>
    <w:link w:val="Simple2Char"/>
    <w:uiPriority w:val="3"/>
    <w:qFormat/>
    <w:rsid w:val="00DB2EE6"/>
    <w:pPr>
      <w:numPr>
        <w:ilvl w:val="1"/>
        <w:numId w:val="53"/>
      </w:numPr>
      <w:spacing w:after="240" w:line="240" w:lineRule="atLeast"/>
      <w:jc w:val="both"/>
    </w:pPr>
    <w:rPr>
      <w:rFonts w:ascii="Arial" w:eastAsiaTheme="minorHAnsi" w:hAnsi="Arial" w:cstheme="minorBidi"/>
      <w:lang w:eastAsia="en-US"/>
    </w:rPr>
  </w:style>
  <w:style w:type="character" w:customStyle="1" w:styleId="Simple2Char">
    <w:name w:val="Simple 2 Char"/>
    <w:basedOn w:val="DefaultParagraphFont"/>
    <w:link w:val="Simple2"/>
    <w:uiPriority w:val="3"/>
    <w:rsid w:val="00DB2EE6"/>
    <w:rPr>
      <w:rFonts w:ascii="Arial" w:eastAsiaTheme="minorHAnsi" w:hAnsi="Arial" w:cstheme="minorBidi"/>
      <w:lang w:eastAsia="en-US"/>
    </w:rPr>
  </w:style>
  <w:style w:type="paragraph" w:customStyle="1" w:styleId="Simple3">
    <w:name w:val="Simple 3"/>
    <w:uiPriority w:val="3"/>
    <w:qFormat/>
    <w:rsid w:val="00DB2EE6"/>
    <w:pPr>
      <w:numPr>
        <w:ilvl w:val="2"/>
        <w:numId w:val="53"/>
      </w:numPr>
      <w:spacing w:after="240" w:line="240" w:lineRule="atLeast"/>
      <w:jc w:val="both"/>
    </w:pPr>
    <w:rPr>
      <w:rFonts w:ascii="Arial" w:eastAsiaTheme="minorHAnsi" w:hAnsi="Arial" w:cstheme="minorBidi"/>
      <w:lang w:eastAsia="en-US"/>
    </w:rPr>
  </w:style>
  <w:style w:type="paragraph" w:customStyle="1" w:styleId="Simple4">
    <w:name w:val="Simple 4"/>
    <w:uiPriority w:val="3"/>
    <w:qFormat/>
    <w:rsid w:val="00DB2EE6"/>
    <w:pPr>
      <w:numPr>
        <w:ilvl w:val="3"/>
        <w:numId w:val="53"/>
      </w:numPr>
      <w:spacing w:after="240" w:line="240" w:lineRule="atLeast"/>
      <w:jc w:val="both"/>
    </w:pPr>
    <w:rPr>
      <w:rFonts w:ascii="Arial" w:eastAsiaTheme="minorHAnsi" w:hAnsi="Arial" w:cstheme="minorBidi"/>
      <w:lang w:eastAsia="en-US"/>
    </w:rPr>
  </w:style>
  <w:style w:type="paragraph" w:customStyle="1" w:styleId="Simple5">
    <w:name w:val="Simple 5"/>
    <w:uiPriority w:val="3"/>
    <w:qFormat/>
    <w:rsid w:val="00DB2EE6"/>
    <w:pPr>
      <w:numPr>
        <w:ilvl w:val="4"/>
        <w:numId w:val="53"/>
      </w:numPr>
      <w:spacing w:after="240" w:line="240" w:lineRule="atLeast"/>
      <w:jc w:val="both"/>
    </w:pPr>
    <w:rPr>
      <w:rFonts w:ascii="Arial" w:eastAsiaTheme="minorHAnsi" w:hAnsi="Arial" w:cstheme="minorBidi"/>
      <w:lang w:eastAsia="en-US"/>
    </w:rPr>
  </w:style>
  <w:style w:type="paragraph" w:customStyle="1" w:styleId="Simple6">
    <w:name w:val="Simple 6"/>
    <w:uiPriority w:val="3"/>
    <w:qFormat/>
    <w:rsid w:val="00DB2EE6"/>
    <w:pPr>
      <w:numPr>
        <w:ilvl w:val="5"/>
        <w:numId w:val="53"/>
      </w:numPr>
      <w:spacing w:after="240" w:line="240" w:lineRule="atLeast"/>
      <w:jc w:val="both"/>
    </w:pPr>
    <w:rPr>
      <w:rFonts w:ascii="Arial" w:eastAsiaTheme="minorHAnsi" w:hAnsi="Arial" w:cstheme="minorBidi"/>
      <w:lang w:eastAsia="en-US"/>
    </w:rPr>
  </w:style>
  <w:style w:type="paragraph" w:customStyle="1" w:styleId="Simple7">
    <w:name w:val="Simple 7"/>
    <w:uiPriority w:val="10"/>
    <w:qFormat/>
    <w:rsid w:val="00DB2EE6"/>
    <w:pPr>
      <w:numPr>
        <w:ilvl w:val="6"/>
        <w:numId w:val="53"/>
      </w:numPr>
      <w:spacing w:after="240" w:line="240" w:lineRule="atLeast"/>
      <w:jc w:val="both"/>
    </w:pPr>
    <w:rPr>
      <w:rFonts w:ascii="Arial" w:eastAsiaTheme="minorHAnsi" w:hAnsi="Arial" w:cstheme="minorBidi"/>
      <w:lang w:eastAsia="en-US"/>
    </w:rPr>
  </w:style>
  <w:style w:type="paragraph" w:customStyle="1" w:styleId="Simple8">
    <w:name w:val="Simple 8"/>
    <w:uiPriority w:val="10"/>
    <w:rsid w:val="00DB2EE6"/>
    <w:pPr>
      <w:numPr>
        <w:ilvl w:val="7"/>
        <w:numId w:val="53"/>
      </w:numPr>
      <w:spacing w:after="240" w:line="240" w:lineRule="atLeast"/>
      <w:jc w:val="both"/>
    </w:pPr>
    <w:rPr>
      <w:rFonts w:ascii="Arial" w:eastAsiaTheme="minorHAnsi" w:hAnsi="Arial" w:cstheme="minorBidi"/>
      <w:lang w:eastAsia="en-US"/>
    </w:rPr>
  </w:style>
  <w:style w:type="paragraph" w:customStyle="1" w:styleId="Simple9">
    <w:name w:val="Simple 9"/>
    <w:uiPriority w:val="10"/>
    <w:rsid w:val="00DB2EE6"/>
    <w:pPr>
      <w:numPr>
        <w:ilvl w:val="8"/>
        <w:numId w:val="53"/>
      </w:numPr>
      <w:spacing w:after="240" w:line="240" w:lineRule="atLeast"/>
      <w:jc w:val="both"/>
    </w:pPr>
    <w:rPr>
      <w:rFonts w:ascii="Arial" w:eastAsiaTheme="minorHAnsi" w:hAnsi="Arial" w:cstheme="minorBidi"/>
      <w:lang w:eastAsia="en-US"/>
    </w:rPr>
  </w:style>
  <w:style w:type="paragraph" w:customStyle="1" w:styleId="Style1">
    <w:name w:val="Style1"/>
    <w:basedOn w:val="Normal"/>
    <w:qFormat/>
    <w:rsid w:val="00DB2EE6"/>
    <w:pPr>
      <w:numPr>
        <w:ilvl w:val="1"/>
        <w:numId w:val="54"/>
      </w:numPr>
      <w:spacing w:before="240" w:after="240" w:line="264" w:lineRule="auto"/>
      <w:jc w:val="left"/>
    </w:pPr>
    <w:rPr>
      <w:rFonts w:ascii="Expert Sans" w:eastAsiaTheme="minorHAnsi" w:hAnsi="Expert Sans" w:cs="Expert Sans"/>
      <w:color w:val="000000"/>
      <w:sz w:val="19"/>
      <w:szCs w:val="22"/>
      <w:u w:color="000000"/>
    </w:rPr>
  </w:style>
  <w:style w:type="character" w:styleId="UnresolvedMention">
    <w:name w:val="Unresolved Mention"/>
    <w:basedOn w:val="DefaultParagraphFont"/>
    <w:uiPriority w:val="99"/>
    <w:semiHidden/>
    <w:unhideWhenUsed/>
    <w:rsid w:val="00BE3F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2780">
      <w:bodyDiv w:val="1"/>
      <w:marLeft w:val="0"/>
      <w:marRight w:val="0"/>
      <w:marTop w:val="0"/>
      <w:marBottom w:val="0"/>
      <w:divBdr>
        <w:top w:val="none" w:sz="0" w:space="0" w:color="auto"/>
        <w:left w:val="none" w:sz="0" w:space="0" w:color="auto"/>
        <w:bottom w:val="none" w:sz="0" w:space="0" w:color="auto"/>
        <w:right w:val="none" w:sz="0" w:space="0" w:color="auto"/>
      </w:divBdr>
    </w:div>
    <w:div w:id="38749654">
      <w:bodyDiv w:val="1"/>
      <w:marLeft w:val="0"/>
      <w:marRight w:val="0"/>
      <w:marTop w:val="0"/>
      <w:marBottom w:val="0"/>
      <w:divBdr>
        <w:top w:val="none" w:sz="0" w:space="0" w:color="auto"/>
        <w:left w:val="none" w:sz="0" w:space="0" w:color="auto"/>
        <w:bottom w:val="none" w:sz="0" w:space="0" w:color="auto"/>
        <w:right w:val="none" w:sz="0" w:space="0" w:color="auto"/>
      </w:divBdr>
    </w:div>
    <w:div w:id="45302078">
      <w:bodyDiv w:val="1"/>
      <w:marLeft w:val="0"/>
      <w:marRight w:val="0"/>
      <w:marTop w:val="0"/>
      <w:marBottom w:val="0"/>
      <w:divBdr>
        <w:top w:val="none" w:sz="0" w:space="0" w:color="auto"/>
        <w:left w:val="none" w:sz="0" w:space="0" w:color="auto"/>
        <w:bottom w:val="none" w:sz="0" w:space="0" w:color="auto"/>
        <w:right w:val="none" w:sz="0" w:space="0" w:color="auto"/>
      </w:divBdr>
    </w:div>
    <w:div w:id="52703282">
      <w:bodyDiv w:val="1"/>
      <w:marLeft w:val="0"/>
      <w:marRight w:val="0"/>
      <w:marTop w:val="0"/>
      <w:marBottom w:val="0"/>
      <w:divBdr>
        <w:top w:val="none" w:sz="0" w:space="0" w:color="auto"/>
        <w:left w:val="none" w:sz="0" w:space="0" w:color="auto"/>
        <w:bottom w:val="none" w:sz="0" w:space="0" w:color="auto"/>
        <w:right w:val="none" w:sz="0" w:space="0" w:color="auto"/>
      </w:divBdr>
    </w:div>
    <w:div w:id="64036044">
      <w:bodyDiv w:val="1"/>
      <w:marLeft w:val="0"/>
      <w:marRight w:val="0"/>
      <w:marTop w:val="0"/>
      <w:marBottom w:val="0"/>
      <w:divBdr>
        <w:top w:val="none" w:sz="0" w:space="0" w:color="auto"/>
        <w:left w:val="none" w:sz="0" w:space="0" w:color="auto"/>
        <w:bottom w:val="none" w:sz="0" w:space="0" w:color="auto"/>
        <w:right w:val="none" w:sz="0" w:space="0" w:color="auto"/>
      </w:divBdr>
    </w:div>
    <w:div w:id="77991095">
      <w:bodyDiv w:val="1"/>
      <w:marLeft w:val="0"/>
      <w:marRight w:val="0"/>
      <w:marTop w:val="0"/>
      <w:marBottom w:val="0"/>
      <w:divBdr>
        <w:top w:val="none" w:sz="0" w:space="0" w:color="auto"/>
        <w:left w:val="none" w:sz="0" w:space="0" w:color="auto"/>
        <w:bottom w:val="none" w:sz="0" w:space="0" w:color="auto"/>
        <w:right w:val="none" w:sz="0" w:space="0" w:color="auto"/>
      </w:divBdr>
    </w:div>
    <w:div w:id="93592521">
      <w:bodyDiv w:val="1"/>
      <w:marLeft w:val="0"/>
      <w:marRight w:val="0"/>
      <w:marTop w:val="0"/>
      <w:marBottom w:val="0"/>
      <w:divBdr>
        <w:top w:val="none" w:sz="0" w:space="0" w:color="auto"/>
        <w:left w:val="none" w:sz="0" w:space="0" w:color="auto"/>
        <w:bottom w:val="none" w:sz="0" w:space="0" w:color="auto"/>
        <w:right w:val="none" w:sz="0" w:space="0" w:color="auto"/>
      </w:divBdr>
    </w:div>
    <w:div w:id="98764476">
      <w:bodyDiv w:val="1"/>
      <w:marLeft w:val="0"/>
      <w:marRight w:val="0"/>
      <w:marTop w:val="0"/>
      <w:marBottom w:val="0"/>
      <w:divBdr>
        <w:top w:val="none" w:sz="0" w:space="0" w:color="auto"/>
        <w:left w:val="none" w:sz="0" w:space="0" w:color="auto"/>
        <w:bottom w:val="none" w:sz="0" w:space="0" w:color="auto"/>
        <w:right w:val="none" w:sz="0" w:space="0" w:color="auto"/>
      </w:divBdr>
    </w:div>
    <w:div w:id="98917598">
      <w:bodyDiv w:val="1"/>
      <w:marLeft w:val="0"/>
      <w:marRight w:val="0"/>
      <w:marTop w:val="0"/>
      <w:marBottom w:val="0"/>
      <w:divBdr>
        <w:top w:val="none" w:sz="0" w:space="0" w:color="auto"/>
        <w:left w:val="none" w:sz="0" w:space="0" w:color="auto"/>
        <w:bottom w:val="none" w:sz="0" w:space="0" w:color="auto"/>
        <w:right w:val="none" w:sz="0" w:space="0" w:color="auto"/>
      </w:divBdr>
    </w:div>
    <w:div w:id="101806360">
      <w:bodyDiv w:val="1"/>
      <w:marLeft w:val="0"/>
      <w:marRight w:val="0"/>
      <w:marTop w:val="0"/>
      <w:marBottom w:val="0"/>
      <w:divBdr>
        <w:top w:val="none" w:sz="0" w:space="0" w:color="auto"/>
        <w:left w:val="none" w:sz="0" w:space="0" w:color="auto"/>
        <w:bottom w:val="none" w:sz="0" w:space="0" w:color="auto"/>
        <w:right w:val="none" w:sz="0" w:space="0" w:color="auto"/>
      </w:divBdr>
    </w:div>
    <w:div w:id="129910024">
      <w:bodyDiv w:val="1"/>
      <w:marLeft w:val="0"/>
      <w:marRight w:val="0"/>
      <w:marTop w:val="0"/>
      <w:marBottom w:val="0"/>
      <w:divBdr>
        <w:top w:val="none" w:sz="0" w:space="0" w:color="auto"/>
        <w:left w:val="none" w:sz="0" w:space="0" w:color="auto"/>
        <w:bottom w:val="none" w:sz="0" w:space="0" w:color="auto"/>
        <w:right w:val="none" w:sz="0" w:space="0" w:color="auto"/>
      </w:divBdr>
    </w:div>
    <w:div w:id="151602364">
      <w:bodyDiv w:val="1"/>
      <w:marLeft w:val="0"/>
      <w:marRight w:val="0"/>
      <w:marTop w:val="0"/>
      <w:marBottom w:val="0"/>
      <w:divBdr>
        <w:top w:val="none" w:sz="0" w:space="0" w:color="auto"/>
        <w:left w:val="none" w:sz="0" w:space="0" w:color="auto"/>
        <w:bottom w:val="none" w:sz="0" w:space="0" w:color="auto"/>
        <w:right w:val="none" w:sz="0" w:space="0" w:color="auto"/>
      </w:divBdr>
    </w:div>
    <w:div w:id="177740684">
      <w:bodyDiv w:val="1"/>
      <w:marLeft w:val="0"/>
      <w:marRight w:val="0"/>
      <w:marTop w:val="0"/>
      <w:marBottom w:val="0"/>
      <w:divBdr>
        <w:top w:val="none" w:sz="0" w:space="0" w:color="auto"/>
        <w:left w:val="none" w:sz="0" w:space="0" w:color="auto"/>
        <w:bottom w:val="none" w:sz="0" w:space="0" w:color="auto"/>
        <w:right w:val="none" w:sz="0" w:space="0" w:color="auto"/>
      </w:divBdr>
    </w:div>
    <w:div w:id="205610272">
      <w:bodyDiv w:val="1"/>
      <w:marLeft w:val="0"/>
      <w:marRight w:val="0"/>
      <w:marTop w:val="0"/>
      <w:marBottom w:val="0"/>
      <w:divBdr>
        <w:top w:val="none" w:sz="0" w:space="0" w:color="auto"/>
        <w:left w:val="none" w:sz="0" w:space="0" w:color="auto"/>
        <w:bottom w:val="none" w:sz="0" w:space="0" w:color="auto"/>
        <w:right w:val="none" w:sz="0" w:space="0" w:color="auto"/>
      </w:divBdr>
    </w:div>
    <w:div w:id="212083298">
      <w:bodyDiv w:val="1"/>
      <w:marLeft w:val="0"/>
      <w:marRight w:val="0"/>
      <w:marTop w:val="0"/>
      <w:marBottom w:val="0"/>
      <w:divBdr>
        <w:top w:val="none" w:sz="0" w:space="0" w:color="auto"/>
        <w:left w:val="none" w:sz="0" w:space="0" w:color="auto"/>
        <w:bottom w:val="none" w:sz="0" w:space="0" w:color="auto"/>
        <w:right w:val="none" w:sz="0" w:space="0" w:color="auto"/>
      </w:divBdr>
    </w:div>
    <w:div w:id="225335111">
      <w:bodyDiv w:val="1"/>
      <w:marLeft w:val="0"/>
      <w:marRight w:val="0"/>
      <w:marTop w:val="0"/>
      <w:marBottom w:val="0"/>
      <w:divBdr>
        <w:top w:val="none" w:sz="0" w:space="0" w:color="auto"/>
        <w:left w:val="none" w:sz="0" w:space="0" w:color="auto"/>
        <w:bottom w:val="none" w:sz="0" w:space="0" w:color="auto"/>
        <w:right w:val="none" w:sz="0" w:space="0" w:color="auto"/>
      </w:divBdr>
    </w:div>
    <w:div w:id="254017598">
      <w:bodyDiv w:val="1"/>
      <w:marLeft w:val="0"/>
      <w:marRight w:val="0"/>
      <w:marTop w:val="0"/>
      <w:marBottom w:val="0"/>
      <w:divBdr>
        <w:top w:val="none" w:sz="0" w:space="0" w:color="auto"/>
        <w:left w:val="none" w:sz="0" w:space="0" w:color="auto"/>
        <w:bottom w:val="none" w:sz="0" w:space="0" w:color="auto"/>
        <w:right w:val="none" w:sz="0" w:space="0" w:color="auto"/>
      </w:divBdr>
    </w:div>
    <w:div w:id="280498528">
      <w:bodyDiv w:val="1"/>
      <w:marLeft w:val="0"/>
      <w:marRight w:val="0"/>
      <w:marTop w:val="0"/>
      <w:marBottom w:val="0"/>
      <w:divBdr>
        <w:top w:val="none" w:sz="0" w:space="0" w:color="auto"/>
        <w:left w:val="none" w:sz="0" w:space="0" w:color="auto"/>
        <w:bottom w:val="none" w:sz="0" w:space="0" w:color="auto"/>
        <w:right w:val="none" w:sz="0" w:space="0" w:color="auto"/>
      </w:divBdr>
    </w:div>
    <w:div w:id="280692726">
      <w:bodyDiv w:val="1"/>
      <w:marLeft w:val="0"/>
      <w:marRight w:val="0"/>
      <w:marTop w:val="0"/>
      <w:marBottom w:val="0"/>
      <w:divBdr>
        <w:top w:val="none" w:sz="0" w:space="0" w:color="auto"/>
        <w:left w:val="none" w:sz="0" w:space="0" w:color="auto"/>
        <w:bottom w:val="none" w:sz="0" w:space="0" w:color="auto"/>
        <w:right w:val="none" w:sz="0" w:space="0" w:color="auto"/>
      </w:divBdr>
    </w:div>
    <w:div w:id="301618980">
      <w:bodyDiv w:val="1"/>
      <w:marLeft w:val="0"/>
      <w:marRight w:val="0"/>
      <w:marTop w:val="0"/>
      <w:marBottom w:val="0"/>
      <w:divBdr>
        <w:top w:val="none" w:sz="0" w:space="0" w:color="auto"/>
        <w:left w:val="none" w:sz="0" w:space="0" w:color="auto"/>
        <w:bottom w:val="none" w:sz="0" w:space="0" w:color="auto"/>
        <w:right w:val="none" w:sz="0" w:space="0" w:color="auto"/>
      </w:divBdr>
    </w:div>
    <w:div w:id="309360236">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46639762">
      <w:bodyDiv w:val="1"/>
      <w:marLeft w:val="0"/>
      <w:marRight w:val="0"/>
      <w:marTop w:val="0"/>
      <w:marBottom w:val="0"/>
      <w:divBdr>
        <w:top w:val="none" w:sz="0" w:space="0" w:color="auto"/>
        <w:left w:val="none" w:sz="0" w:space="0" w:color="auto"/>
        <w:bottom w:val="none" w:sz="0" w:space="0" w:color="auto"/>
        <w:right w:val="none" w:sz="0" w:space="0" w:color="auto"/>
      </w:divBdr>
    </w:div>
    <w:div w:id="351886313">
      <w:bodyDiv w:val="1"/>
      <w:marLeft w:val="0"/>
      <w:marRight w:val="0"/>
      <w:marTop w:val="0"/>
      <w:marBottom w:val="0"/>
      <w:divBdr>
        <w:top w:val="none" w:sz="0" w:space="0" w:color="auto"/>
        <w:left w:val="none" w:sz="0" w:space="0" w:color="auto"/>
        <w:bottom w:val="none" w:sz="0" w:space="0" w:color="auto"/>
        <w:right w:val="none" w:sz="0" w:space="0" w:color="auto"/>
      </w:divBdr>
    </w:div>
    <w:div w:id="360206476">
      <w:bodyDiv w:val="1"/>
      <w:marLeft w:val="0"/>
      <w:marRight w:val="0"/>
      <w:marTop w:val="0"/>
      <w:marBottom w:val="0"/>
      <w:divBdr>
        <w:top w:val="none" w:sz="0" w:space="0" w:color="auto"/>
        <w:left w:val="none" w:sz="0" w:space="0" w:color="auto"/>
        <w:bottom w:val="none" w:sz="0" w:space="0" w:color="auto"/>
        <w:right w:val="none" w:sz="0" w:space="0" w:color="auto"/>
      </w:divBdr>
    </w:div>
    <w:div w:id="364449055">
      <w:bodyDiv w:val="1"/>
      <w:marLeft w:val="0"/>
      <w:marRight w:val="0"/>
      <w:marTop w:val="0"/>
      <w:marBottom w:val="0"/>
      <w:divBdr>
        <w:top w:val="none" w:sz="0" w:space="0" w:color="auto"/>
        <w:left w:val="none" w:sz="0" w:space="0" w:color="auto"/>
        <w:bottom w:val="none" w:sz="0" w:space="0" w:color="auto"/>
        <w:right w:val="none" w:sz="0" w:space="0" w:color="auto"/>
      </w:divBdr>
    </w:div>
    <w:div w:id="364793097">
      <w:bodyDiv w:val="1"/>
      <w:marLeft w:val="0"/>
      <w:marRight w:val="0"/>
      <w:marTop w:val="0"/>
      <w:marBottom w:val="0"/>
      <w:divBdr>
        <w:top w:val="none" w:sz="0" w:space="0" w:color="auto"/>
        <w:left w:val="none" w:sz="0" w:space="0" w:color="auto"/>
        <w:bottom w:val="none" w:sz="0" w:space="0" w:color="auto"/>
        <w:right w:val="none" w:sz="0" w:space="0" w:color="auto"/>
      </w:divBdr>
    </w:div>
    <w:div w:id="365984456">
      <w:bodyDiv w:val="1"/>
      <w:marLeft w:val="0"/>
      <w:marRight w:val="0"/>
      <w:marTop w:val="0"/>
      <w:marBottom w:val="0"/>
      <w:divBdr>
        <w:top w:val="none" w:sz="0" w:space="0" w:color="auto"/>
        <w:left w:val="none" w:sz="0" w:space="0" w:color="auto"/>
        <w:bottom w:val="none" w:sz="0" w:space="0" w:color="auto"/>
        <w:right w:val="none" w:sz="0" w:space="0" w:color="auto"/>
      </w:divBdr>
    </w:div>
    <w:div w:id="375739898">
      <w:bodyDiv w:val="1"/>
      <w:marLeft w:val="0"/>
      <w:marRight w:val="0"/>
      <w:marTop w:val="0"/>
      <w:marBottom w:val="0"/>
      <w:divBdr>
        <w:top w:val="none" w:sz="0" w:space="0" w:color="auto"/>
        <w:left w:val="none" w:sz="0" w:space="0" w:color="auto"/>
        <w:bottom w:val="none" w:sz="0" w:space="0" w:color="auto"/>
        <w:right w:val="none" w:sz="0" w:space="0" w:color="auto"/>
      </w:divBdr>
    </w:div>
    <w:div w:id="401680377">
      <w:bodyDiv w:val="1"/>
      <w:marLeft w:val="0"/>
      <w:marRight w:val="0"/>
      <w:marTop w:val="0"/>
      <w:marBottom w:val="0"/>
      <w:divBdr>
        <w:top w:val="none" w:sz="0" w:space="0" w:color="auto"/>
        <w:left w:val="none" w:sz="0" w:space="0" w:color="auto"/>
        <w:bottom w:val="none" w:sz="0" w:space="0" w:color="auto"/>
        <w:right w:val="none" w:sz="0" w:space="0" w:color="auto"/>
      </w:divBdr>
    </w:div>
    <w:div w:id="445930610">
      <w:bodyDiv w:val="1"/>
      <w:marLeft w:val="0"/>
      <w:marRight w:val="0"/>
      <w:marTop w:val="0"/>
      <w:marBottom w:val="0"/>
      <w:divBdr>
        <w:top w:val="none" w:sz="0" w:space="0" w:color="auto"/>
        <w:left w:val="none" w:sz="0" w:space="0" w:color="auto"/>
        <w:bottom w:val="none" w:sz="0" w:space="0" w:color="auto"/>
        <w:right w:val="none" w:sz="0" w:space="0" w:color="auto"/>
      </w:divBdr>
    </w:div>
    <w:div w:id="461731848">
      <w:bodyDiv w:val="1"/>
      <w:marLeft w:val="0"/>
      <w:marRight w:val="0"/>
      <w:marTop w:val="0"/>
      <w:marBottom w:val="0"/>
      <w:divBdr>
        <w:top w:val="none" w:sz="0" w:space="0" w:color="auto"/>
        <w:left w:val="none" w:sz="0" w:space="0" w:color="auto"/>
        <w:bottom w:val="none" w:sz="0" w:space="0" w:color="auto"/>
        <w:right w:val="none" w:sz="0" w:space="0" w:color="auto"/>
      </w:divBdr>
    </w:div>
    <w:div w:id="480773188">
      <w:bodyDiv w:val="1"/>
      <w:marLeft w:val="0"/>
      <w:marRight w:val="0"/>
      <w:marTop w:val="0"/>
      <w:marBottom w:val="0"/>
      <w:divBdr>
        <w:top w:val="none" w:sz="0" w:space="0" w:color="auto"/>
        <w:left w:val="none" w:sz="0" w:space="0" w:color="auto"/>
        <w:bottom w:val="none" w:sz="0" w:space="0" w:color="auto"/>
        <w:right w:val="none" w:sz="0" w:space="0" w:color="auto"/>
      </w:divBdr>
    </w:div>
    <w:div w:id="490873564">
      <w:bodyDiv w:val="1"/>
      <w:marLeft w:val="0"/>
      <w:marRight w:val="0"/>
      <w:marTop w:val="0"/>
      <w:marBottom w:val="0"/>
      <w:divBdr>
        <w:top w:val="none" w:sz="0" w:space="0" w:color="auto"/>
        <w:left w:val="none" w:sz="0" w:space="0" w:color="auto"/>
        <w:bottom w:val="none" w:sz="0" w:space="0" w:color="auto"/>
        <w:right w:val="none" w:sz="0" w:space="0" w:color="auto"/>
      </w:divBdr>
    </w:div>
    <w:div w:id="499387561">
      <w:bodyDiv w:val="1"/>
      <w:marLeft w:val="0"/>
      <w:marRight w:val="0"/>
      <w:marTop w:val="0"/>
      <w:marBottom w:val="0"/>
      <w:divBdr>
        <w:top w:val="none" w:sz="0" w:space="0" w:color="auto"/>
        <w:left w:val="none" w:sz="0" w:space="0" w:color="auto"/>
        <w:bottom w:val="none" w:sz="0" w:space="0" w:color="auto"/>
        <w:right w:val="none" w:sz="0" w:space="0" w:color="auto"/>
      </w:divBdr>
    </w:div>
    <w:div w:id="503017067">
      <w:bodyDiv w:val="1"/>
      <w:marLeft w:val="0"/>
      <w:marRight w:val="0"/>
      <w:marTop w:val="0"/>
      <w:marBottom w:val="0"/>
      <w:divBdr>
        <w:top w:val="none" w:sz="0" w:space="0" w:color="auto"/>
        <w:left w:val="none" w:sz="0" w:space="0" w:color="auto"/>
        <w:bottom w:val="none" w:sz="0" w:space="0" w:color="auto"/>
        <w:right w:val="none" w:sz="0" w:space="0" w:color="auto"/>
      </w:divBdr>
    </w:div>
    <w:div w:id="520053813">
      <w:bodyDiv w:val="1"/>
      <w:marLeft w:val="0"/>
      <w:marRight w:val="0"/>
      <w:marTop w:val="0"/>
      <w:marBottom w:val="0"/>
      <w:divBdr>
        <w:top w:val="none" w:sz="0" w:space="0" w:color="auto"/>
        <w:left w:val="none" w:sz="0" w:space="0" w:color="auto"/>
        <w:bottom w:val="none" w:sz="0" w:space="0" w:color="auto"/>
        <w:right w:val="none" w:sz="0" w:space="0" w:color="auto"/>
      </w:divBdr>
      <w:divsChild>
        <w:div w:id="1231892674">
          <w:marLeft w:val="0"/>
          <w:marRight w:val="0"/>
          <w:marTop w:val="0"/>
          <w:marBottom w:val="0"/>
          <w:divBdr>
            <w:top w:val="none" w:sz="0" w:space="0" w:color="auto"/>
            <w:left w:val="none" w:sz="0" w:space="0" w:color="auto"/>
            <w:bottom w:val="none" w:sz="0" w:space="0" w:color="auto"/>
            <w:right w:val="none" w:sz="0" w:space="0" w:color="auto"/>
          </w:divBdr>
          <w:divsChild>
            <w:div w:id="77424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38910">
      <w:bodyDiv w:val="1"/>
      <w:marLeft w:val="0"/>
      <w:marRight w:val="0"/>
      <w:marTop w:val="0"/>
      <w:marBottom w:val="0"/>
      <w:divBdr>
        <w:top w:val="none" w:sz="0" w:space="0" w:color="auto"/>
        <w:left w:val="none" w:sz="0" w:space="0" w:color="auto"/>
        <w:bottom w:val="none" w:sz="0" w:space="0" w:color="auto"/>
        <w:right w:val="none" w:sz="0" w:space="0" w:color="auto"/>
      </w:divBdr>
    </w:div>
    <w:div w:id="544560830">
      <w:bodyDiv w:val="1"/>
      <w:marLeft w:val="0"/>
      <w:marRight w:val="0"/>
      <w:marTop w:val="0"/>
      <w:marBottom w:val="0"/>
      <w:divBdr>
        <w:top w:val="none" w:sz="0" w:space="0" w:color="auto"/>
        <w:left w:val="none" w:sz="0" w:space="0" w:color="auto"/>
        <w:bottom w:val="none" w:sz="0" w:space="0" w:color="auto"/>
        <w:right w:val="none" w:sz="0" w:space="0" w:color="auto"/>
      </w:divBdr>
    </w:div>
    <w:div w:id="548565394">
      <w:bodyDiv w:val="1"/>
      <w:marLeft w:val="0"/>
      <w:marRight w:val="0"/>
      <w:marTop w:val="0"/>
      <w:marBottom w:val="0"/>
      <w:divBdr>
        <w:top w:val="none" w:sz="0" w:space="0" w:color="auto"/>
        <w:left w:val="none" w:sz="0" w:space="0" w:color="auto"/>
        <w:bottom w:val="none" w:sz="0" w:space="0" w:color="auto"/>
        <w:right w:val="none" w:sz="0" w:space="0" w:color="auto"/>
      </w:divBdr>
    </w:div>
    <w:div w:id="555245073">
      <w:bodyDiv w:val="1"/>
      <w:marLeft w:val="0"/>
      <w:marRight w:val="0"/>
      <w:marTop w:val="0"/>
      <w:marBottom w:val="0"/>
      <w:divBdr>
        <w:top w:val="none" w:sz="0" w:space="0" w:color="auto"/>
        <w:left w:val="none" w:sz="0" w:space="0" w:color="auto"/>
        <w:bottom w:val="none" w:sz="0" w:space="0" w:color="auto"/>
        <w:right w:val="none" w:sz="0" w:space="0" w:color="auto"/>
      </w:divBdr>
    </w:div>
    <w:div w:id="568000886">
      <w:bodyDiv w:val="1"/>
      <w:marLeft w:val="0"/>
      <w:marRight w:val="0"/>
      <w:marTop w:val="0"/>
      <w:marBottom w:val="0"/>
      <w:divBdr>
        <w:top w:val="none" w:sz="0" w:space="0" w:color="auto"/>
        <w:left w:val="none" w:sz="0" w:space="0" w:color="auto"/>
        <w:bottom w:val="none" w:sz="0" w:space="0" w:color="auto"/>
        <w:right w:val="none" w:sz="0" w:space="0" w:color="auto"/>
      </w:divBdr>
    </w:div>
    <w:div w:id="577137032">
      <w:bodyDiv w:val="1"/>
      <w:marLeft w:val="0"/>
      <w:marRight w:val="0"/>
      <w:marTop w:val="0"/>
      <w:marBottom w:val="0"/>
      <w:divBdr>
        <w:top w:val="none" w:sz="0" w:space="0" w:color="auto"/>
        <w:left w:val="none" w:sz="0" w:space="0" w:color="auto"/>
        <w:bottom w:val="none" w:sz="0" w:space="0" w:color="auto"/>
        <w:right w:val="none" w:sz="0" w:space="0" w:color="auto"/>
      </w:divBdr>
    </w:div>
    <w:div w:id="590427677">
      <w:bodyDiv w:val="1"/>
      <w:marLeft w:val="0"/>
      <w:marRight w:val="0"/>
      <w:marTop w:val="0"/>
      <w:marBottom w:val="0"/>
      <w:divBdr>
        <w:top w:val="none" w:sz="0" w:space="0" w:color="auto"/>
        <w:left w:val="none" w:sz="0" w:space="0" w:color="auto"/>
        <w:bottom w:val="none" w:sz="0" w:space="0" w:color="auto"/>
        <w:right w:val="none" w:sz="0" w:space="0" w:color="auto"/>
      </w:divBdr>
    </w:div>
    <w:div w:id="590511697">
      <w:bodyDiv w:val="1"/>
      <w:marLeft w:val="0"/>
      <w:marRight w:val="0"/>
      <w:marTop w:val="0"/>
      <w:marBottom w:val="0"/>
      <w:divBdr>
        <w:top w:val="none" w:sz="0" w:space="0" w:color="auto"/>
        <w:left w:val="none" w:sz="0" w:space="0" w:color="auto"/>
        <w:bottom w:val="none" w:sz="0" w:space="0" w:color="auto"/>
        <w:right w:val="none" w:sz="0" w:space="0" w:color="auto"/>
      </w:divBdr>
    </w:div>
    <w:div w:id="598441628">
      <w:bodyDiv w:val="1"/>
      <w:marLeft w:val="0"/>
      <w:marRight w:val="0"/>
      <w:marTop w:val="0"/>
      <w:marBottom w:val="0"/>
      <w:divBdr>
        <w:top w:val="none" w:sz="0" w:space="0" w:color="auto"/>
        <w:left w:val="none" w:sz="0" w:space="0" w:color="auto"/>
        <w:bottom w:val="none" w:sz="0" w:space="0" w:color="auto"/>
        <w:right w:val="none" w:sz="0" w:space="0" w:color="auto"/>
      </w:divBdr>
    </w:div>
    <w:div w:id="599803150">
      <w:bodyDiv w:val="1"/>
      <w:marLeft w:val="0"/>
      <w:marRight w:val="0"/>
      <w:marTop w:val="0"/>
      <w:marBottom w:val="0"/>
      <w:divBdr>
        <w:top w:val="none" w:sz="0" w:space="0" w:color="auto"/>
        <w:left w:val="none" w:sz="0" w:space="0" w:color="auto"/>
        <w:bottom w:val="none" w:sz="0" w:space="0" w:color="auto"/>
        <w:right w:val="none" w:sz="0" w:space="0" w:color="auto"/>
      </w:divBdr>
    </w:div>
    <w:div w:id="639698395">
      <w:bodyDiv w:val="1"/>
      <w:marLeft w:val="0"/>
      <w:marRight w:val="0"/>
      <w:marTop w:val="0"/>
      <w:marBottom w:val="0"/>
      <w:divBdr>
        <w:top w:val="none" w:sz="0" w:space="0" w:color="auto"/>
        <w:left w:val="none" w:sz="0" w:space="0" w:color="auto"/>
        <w:bottom w:val="none" w:sz="0" w:space="0" w:color="auto"/>
        <w:right w:val="none" w:sz="0" w:space="0" w:color="auto"/>
      </w:divBdr>
    </w:div>
    <w:div w:id="654650110">
      <w:bodyDiv w:val="1"/>
      <w:marLeft w:val="0"/>
      <w:marRight w:val="0"/>
      <w:marTop w:val="0"/>
      <w:marBottom w:val="0"/>
      <w:divBdr>
        <w:top w:val="none" w:sz="0" w:space="0" w:color="auto"/>
        <w:left w:val="none" w:sz="0" w:space="0" w:color="auto"/>
        <w:bottom w:val="none" w:sz="0" w:space="0" w:color="auto"/>
        <w:right w:val="none" w:sz="0" w:space="0" w:color="auto"/>
      </w:divBdr>
    </w:div>
    <w:div w:id="669597521">
      <w:bodyDiv w:val="1"/>
      <w:marLeft w:val="0"/>
      <w:marRight w:val="0"/>
      <w:marTop w:val="0"/>
      <w:marBottom w:val="0"/>
      <w:divBdr>
        <w:top w:val="none" w:sz="0" w:space="0" w:color="auto"/>
        <w:left w:val="none" w:sz="0" w:space="0" w:color="auto"/>
        <w:bottom w:val="none" w:sz="0" w:space="0" w:color="auto"/>
        <w:right w:val="none" w:sz="0" w:space="0" w:color="auto"/>
      </w:divBdr>
    </w:div>
    <w:div w:id="670181593">
      <w:bodyDiv w:val="1"/>
      <w:marLeft w:val="0"/>
      <w:marRight w:val="0"/>
      <w:marTop w:val="0"/>
      <w:marBottom w:val="0"/>
      <w:divBdr>
        <w:top w:val="none" w:sz="0" w:space="0" w:color="auto"/>
        <w:left w:val="none" w:sz="0" w:space="0" w:color="auto"/>
        <w:bottom w:val="none" w:sz="0" w:space="0" w:color="auto"/>
        <w:right w:val="none" w:sz="0" w:space="0" w:color="auto"/>
      </w:divBdr>
    </w:div>
    <w:div w:id="678190807">
      <w:bodyDiv w:val="1"/>
      <w:marLeft w:val="0"/>
      <w:marRight w:val="0"/>
      <w:marTop w:val="0"/>
      <w:marBottom w:val="0"/>
      <w:divBdr>
        <w:top w:val="none" w:sz="0" w:space="0" w:color="auto"/>
        <w:left w:val="none" w:sz="0" w:space="0" w:color="auto"/>
        <w:bottom w:val="none" w:sz="0" w:space="0" w:color="auto"/>
        <w:right w:val="none" w:sz="0" w:space="0" w:color="auto"/>
      </w:divBdr>
    </w:div>
    <w:div w:id="702435759">
      <w:bodyDiv w:val="1"/>
      <w:marLeft w:val="0"/>
      <w:marRight w:val="0"/>
      <w:marTop w:val="0"/>
      <w:marBottom w:val="0"/>
      <w:divBdr>
        <w:top w:val="none" w:sz="0" w:space="0" w:color="auto"/>
        <w:left w:val="none" w:sz="0" w:space="0" w:color="auto"/>
        <w:bottom w:val="none" w:sz="0" w:space="0" w:color="auto"/>
        <w:right w:val="none" w:sz="0" w:space="0" w:color="auto"/>
      </w:divBdr>
    </w:div>
    <w:div w:id="756554994">
      <w:bodyDiv w:val="1"/>
      <w:marLeft w:val="0"/>
      <w:marRight w:val="0"/>
      <w:marTop w:val="0"/>
      <w:marBottom w:val="0"/>
      <w:divBdr>
        <w:top w:val="none" w:sz="0" w:space="0" w:color="auto"/>
        <w:left w:val="none" w:sz="0" w:space="0" w:color="auto"/>
        <w:bottom w:val="none" w:sz="0" w:space="0" w:color="auto"/>
        <w:right w:val="none" w:sz="0" w:space="0" w:color="auto"/>
      </w:divBdr>
    </w:div>
    <w:div w:id="758254690">
      <w:bodyDiv w:val="1"/>
      <w:marLeft w:val="0"/>
      <w:marRight w:val="0"/>
      <w:marTop w:val="0"/>
      <w:marBottom w:val="0"/>
      <w:divBdr>
        <w:top w:val="none" w:sz="0" w:space="0" w:color="auto"/>
        <w:left w:val="none" w:sz="0" w:space="0" w:color="auto"/>
        <w:bottom w:val="none" w:sz="0" w:space="0" w:color="auto"/>
        <w:right w:val="none" w:sz="0" w:space="0" w:color="auto"/>
      </w:divBdr>
    </w:div>
    <w:div w:id="763765029">
      <w:bodyDiv w:val="1"/>
      <w:marLeft w:val="0"/>
      <w:marRight w:val="0"/>
      <w:marTop w:val="0"/>
      <w:marBottom w:val="0"/>
      <w:divBdr>
        <w:top w:val="none" w:sz="0" w:space="0" w:color="auto"/>
        <w:left w:val="none" w:sz="0" w:space="0" w:color="auto"/>
        <w:bottom w:val="none" w:sz="0" w:space="0" w:color="auto"/>
        <w:right w:val="none" w:sz="0" w:space="0" w:color="auto"/>
      </w:divBdr>
    </w:div>
    <w:div w:id="765080072">
      <w:bodyDiv w:val="1"/>
      <w:marLeft w:val="0"/>
      <w:marRight w:val="0"/>
      <w:marTop w:val="0"/>
      <w:marBottom w:val="0"/>
      <w:divBdr>
        <w:top w:val="none" w:sz="0" w:space="0" w:color="auto"/>
        <w:left w:val="none" w:sz="0" w:space="0" w:color="auto"/>
        <w:bottom w:val="none" w:sz="0" w:space="0" w:color="auto"/>
        <w:right w:val="none" w:sz="0" w:space="0" w:color="auto"/>
      </w:divBdr>
    </w:div>
    <w:div w:id="800853215">
      <w:bodyDiv w:val="1"/>
      <w:marLeft w:val="0"/>
      <w:marRight w:val="0"/>
      <w:marTop w:val="0"/>
      <w:marBottom w:val="0"/>
      <w:divBdr>
        <w:top w:val="none" w:sz="0" w:space="0" w:color="auto"/>
        <w:left w:val="none" w:sz="0" w:space="0" w:color="auto"/>
        <w:bottom w:val="none" w:sz="0" w:space="0" w:color="auto"/>
        <w:right w:val="none" w:sz="0" w:space="0" w:color="auto"/>
      </w:divBdr>
    </w:div>
    <w:div w:id="816800657">
      <w:bodyDiv w:val="1"/>
      <w:marLeft w:val="0"/>
      <w:marRight w:val="0"/>
      <w:marTop w:val="0"/>
      <w:marBottom w:val="0"/>
      <w:divBdr>
        <w:top w:val="none" w:sz="0" w:space="0" w:color="auto"/>
        <w:left w:val="none" w:sz="0" w:space="0" w:color="auto"/>
        <w:bottom w:val="none" w:sz="0" w:space="0" w:color="auto"/>
        <w:right w:val="none" w:sz="0" w:space="0" w:color="auto"/>
      </w:divBdr>
    </w:div>
    <w:div w:id="827671582">
      <w:bodyDiv w:val="1"/>
      <w:marLeft w:val="0"/>
      <w:marRight w:val="0"/>
      <w:marTop w:val="0"/>
      <w:marBottom w:val="0"/>
      <w:divBdr>
        <w:top w:val="none" w:sz="0" w:space="0" w:color="auto"/>
        <w:left w:val="none" w:sz="0" w:space="0" w:color="auto"/>
        <w:bottom w:val="none" w:sz="0" w:space="0" w:color="auto"/>
        <w:right w:val="none" w:sz="0" w:space="0" w:color="auto"/>
      </w:divBdr>
    </w:div>
    <w:div w:id="833644321">
      <w:bodyDiv w:val="1"/>
      <w:marLeft w:val="0"/>
      <w:marRight w:val="0"/>
      <w:marTop w:val="0"/>
      <w:marBottom w:val="0"/>
      <w:divBdr>
        <w:top w:val="none" w:sz="0" w:space="0" w:color="auto"/>
        <w:left w:val="none" w:sz="0" w:space="0" w:color="auto"/>
        <w:bottom w:val="none" w:sz="0" w:space="0" w:color="auto"/>
        <w:right w:val="none" w:sz="0" w:space="0" w:color="auto"/>
      </w:divBdr>
    </w:div>
    <w:div w:id="845944890">
      <w:bodyDiv w:val="1"/>
      <w:marLeft w:val="0"/>
      <w:marRight w:val="0"/>
      <w:marTop w:val="0"/>
      <w:marBottom w:val="0"/>
      <w:divBdr>
        <w:top w:val="none" w:sz="0" w:space="0" w:color="auto"/>
        <w:left w:val="none" w:sz="0" w:space="0" w:color="auto"/>
        <w:bottom w:val="none" w:sz="0" w:space="0" w:color="auto"/>
        <w:right w:val="none" w:sz="0" w:space="0" w:color="auto"/>
      </w:divBdr>
    </w:div>
    <w:div w:id="846485089">
      <w:bodyDiv w:val="1"/>
      <w:marLeft w:val="0"/>
      <w:marRight w:val="0"/>
      <w:marTop w:val="0"/>
      <w:marBottom w:val="0"/>
      <w:divBdr>
        <w:top w:val="none" w:sz="0" w:space="0" w:color="auto"/>
        <w:left w:val="none" w:sz="0" w:space="0" w:color="auto"/>
        <w:bottom w:val="none" w:sz="0" w:space="0" w:color="auto"/>
        <w:right w:val="none" w:sz="0" w:space="0" w:color="auto"/>
      </w:divBdr>
    </w:div>
    <w:div w:id="851066933">
      <w:bodyDiv w:val="1"/>
      <w:marLeft w:val="0"/>
      <w:marRight w:val="0"/>
      <w:marTop w:val="0"/>
      <w:marBottom w:val="0"/>
      <w:divBdr>
        <w:top w:val="none" w:sz="0" w:space="0" w:color="auto"/>
        <w:left w:val="none" w:sz="0" w:space="0" w:color="auto"/>
        <w:bottom w:val="none" w:sz="0" w:space="0" w:color="auto"/>
        <w:right w:val="none" w:sz="0" w:space="0" w:color="auto"/>
      </w:divBdr>
    </w:div>
    <w:div w:id="942539063">
      <w:bodyDiv w:val="1"/>
      <w:marLeft w:val="0"/>
      <w:marRight w:val="0"/>
      <w:marTop w:val="0"/>
      <w:marBottom w:val="0"/>
      <w:divBdr>
        <w:top w:val="none" w:sz="0" w:space="0" w:color="auto"/>
        <w:left w:val="none" w:sz="0" w:space="0" w:color="auto"/>
        <w:bottom w:val="none" w:sz="0" w:space="0" w:color="auto"/>
        <w:right w:val="none" w:sz="0" w:space="0" w:color="auto"/>
      </w:divBdr>
    </w:div>
    <w:div w:id="952248521">
      <w:bodyDiv w:val="1"/>
      <w:marLeft w:val="0"/>
      <w:marRight w:val="0"/>
      <w:marTop w:val="0"/>
      <w:marBottom w:val="0"/>
      <w:divBdr>
        <w:top w:val="none" w:sz="0" w:space="0" w:color="auto"/>
        <w:left w:val="none" w:sz="0" w:space="0" w:color="auto"/>
        <w:bottom w:val="none" w:sz="0" w:space="0" w:color="auto"/>
        <w:right w:val="none" w:sz="0" w:space="0" w:color="auto"/>
      </w:divBdr>
    </w:div>
    <w:div w:id="963585346">
      <w:bodyDiv w:val="1"/>
      <w:marLeft w:val="0"/>
      <w:marRight w:val="0"/>
      <w:marTop w:val="0"/>
      <w:marBottom w:val="0"/>
      <w:divBdr>
        <w:top w:val="none" w:sz="0" w:space="0" w:color="auto"/>
        <w:left w:val="none" w:sz="0" w:space="0" w:color="auto"/>
        <w:bottom w:val="none" w:sz="0" w:space="0" w:color="auto"/>
        <w:right w:val="none" w:sz="0" w:space="0" w:color="auto"/>
      </w:divBdr>
    </w:div>
    <w:div w:id="970788130">
      <w:bodyDiv w:val="1"/>
      <w:marLeft w:val="0"/>
      <w:marRight w:val="0"/>
      <w:marTop w:val="0"/>
      <w:marBottom w:val="0"/>
      <w:divBdr>
        <w:top w:val="none" w:sz="0" w:space="0" w:color="auto"/>
        <w:left w:val="none" w:sz="0" w:space="0" w:color="auto"/>
        <w:bottom w:val="none" w:sz="0" w:space="0" w:color="auto"/>
        <w:right w:val="none" w:sz="0" w:space="0" w:color="auto"/>
      </w:divBdr>
    </w:div>
    <w:div w:id="973363942">
      <w:bodyDiv w:val="1"/>
      <w:marLeft w:val="0"/>
      <w:marRight w:val="0"/>
      <w:marTop w:val="0"/>
      <w:marBottom w:val="0"/>
      <w:divBdr>
        <w:top w:val="none" w:sz="0" w:space="0" w:color="auto"/>
        <w:left w:val="none" w:sz="0" w:space="0" w:color="auto"/>
        <w:bottom w:val="none" w:sz="0" w:space="0" w:color="auto"/>
        <w:right w:val="none" w:sz="0" w:space="0" w:color="auto"/>
      </w:divBdr>
    </w:div>
    <w:div w:id="995182464">
      <w:bodyDiv w:val="1"/>
      <w:marLeft w:val="0"/>
      <w:marRight w:val="0"/>
      <w:marTop w:val="0"/>
      <w:marBottom w:val="0"/>
      <w:divBdr>
        <w:top w:val="none" w:sz="0" w:space="0" w:color="auto"/>
        <w:left w:val="none" w:sz="0" w:space="0" w:color="auto"/>
        <w:bottom w:val="none" w:sz="0" w:space="0" w:color="auto"/>
        <w:right w:val="none" w:sz="0" w:space="0" w:color="auto"/>
      </w:divBdr>
    </w:div>
    <w:div w:id="1006978179">
      <w:bodyDiv w:val="1"/>
      <w:marLeft w:val="0"/>
      <w:marRight w:val="0"/>
      <w:marTop w:val="0"/>
      <w:marBottom w:val="0"/>
      <w:divBdr>
        <w:top w:val="none" w:sz="0" w:space="0" w:color="auto"/>
        <w:left w:val="none" w:sz="0" w:space="0" w:color="auto"/>
        <w:bottom w:val="none" w:sz="0" w:space="0" w:color="auto"/>
        <w:right w:val="none" w:sz="0" w:space="0" w:color="auto"/>
      </w:divBdr>
    </w:div>
    <w:div w:id="1007174813">
      <w:bodyDiv w:val="1"/>
      <w:marLeft w:val="0"/>
      <w:marRight w:val="0"/>
      <w:marTop w:val="0"/>
      <w:marBottom w:val="0"/>
      <w:divBdr>
        <w:top w:val="none" w:sz="0" w:space="0" w:color="auto"/>
        <w:left w:val="none" w:sz="0" w:space="0" w:color="auto"/>
        <w:bottom w:val="none" w:sz="0" w:space="0" w:color="auto"/>
        <w:right w:val="none" w:sz="0" w:space="0" w:color="auto"/>
      </w:divBdr>
    </w:div>
    <w:div w:id="1043793134">
      <w:bodyDiv w:val="1"/>
      <w:marLeft w:val="0"/>
      <w:marRight w:val="0"/>
      <w:marTop w:val="0"/>
      <w:marBottom w:val="0"/>
      <w:divBdr>
        <w:top w:val="none" w:sz="0" w:space="0" w:color="auto"/>
        <w:left w:val="none" w:sz="0" w:space="0" w:color="auto"/>
        <w:bottom w:val="none" w:sz="0" w:space="0" w:color="auto"/>
        <w:right w:val="none" w:sz="0" w:space="0" w:color="auto"/>
      </w:divBdr>
    </w:div>
    <w:div w:id="1047333677">
      <w:bodyDiv w:val="1"/>
      <w:marLeft w:val="0"/>
      <w:marRight w:val="0"/>
      <w:marTop w:val="0"/>
      <w:marBottom w:val="0"/>
      <w:divBdr>
        <w:top w:val="none" w:sz="0" w:space="0" w:color="auto"/>
        <w:left w:val="none" w:sz="0" w:space="0" w:color="auto"/>
        <w:bottom w:val="none" w:sz="0" w:space="0" w:color="auto"/>
        <w:right w:val="none" w:sz="0" w:space="0" w:color="auto"/>
      </w:divBdr>
    </w:div>
    <w:div w:id="1090858645">
      <w:bodyDiv w:val="1"/>
      <w:marLeft w:val="0"/>
      <w:marRight w:val="0"/>
      <w:marTop w:val="0"/>
      <w:marBottom w:val="0"/>
      <w:divBdr>
        <w:top w:val="none" w:sz="0" w:space="0" w:color="auto"/>
        <w:left w:val="none" w:sz="0" w:space="0" w:color="auto"/>
        <w:bottom w:val="none" w:sz="0" w:space="0" w:color="auto"/>
        <w:right w:val="none" w:sz="0" w:space="0" w:color="auto"/>
      </w:divBdr>
    </w:div>
    <w:div w:id="1131047631">
      <w:bodyDiv w:val="1"/>
      <w:marLeft w:val="0"/>
      <w:marRight w:val="0"/>
      <w:marTop w:val="0"/>
      <w:marBottom w:val="0"/>
      <w:divBdr>
        <w:top w:val="none" w:sz="0" w:space="0" w:color="auto"/>
        <w:left w:val="none" w:sz="0" w:space="0" w:color="auto"/>
        <w:bottom w:val="none" w:sz="0" w:space="0" w:color="auto"/>
        <w:right w:val="none" w:sz="0" w:space="0" w:color="auto"/>
      </w:divBdr>
    </w:div>
    <w:div w:id="1131241532">
      <w:bodyDiv w:val="1"/>
      <w:marLeft w:val="0"/>
      <w:marRight w:val="0"/>
      <w:marTop w:val="0"/>
      <w:marBottom w:val="0"/>
      <w:divBdr>
        <w:top w:val="none" w:sz="0" w:space="0" w:color="auto"/>
        <w:left w:val="none" w:sz="0" w:space="0" w:color="auto"/>
        <w:bottom w:val="none" w:sz="0" w:space="0" w:color="auto"/>
        <w:right w:val="none" w:sz="0" w:space="0" w:color="auto"/>
      </w:divBdr>
    </w:div>
    <w:div w:id="1161043278">
      <w:bodyDiv w:val="1"/>
      <w:marLeft w:val="0"/>
      <w:marRight w:val="0"/>
      <w:marTop w:val="0"/>
      <w:marBottom w:val="0"/>
      <w:divBdr>
        <w:top w:val="none" w:sz="0" w:space="0" w:color="auto"/>
        <w:left w:val="none" w:sz="0" w:space="0" w:color="auto"/>
        <w:bottom w:val="none" w:sz="0" w:space="0" w:color="auto"/>
        <w:right w:val="none" w:sz="0" w:space="0" w:color="auto"/>
      </w:divBdr>
    </w:div>
    <w:div w:id="1164853942">
      <w:bodyDiv w:val="1"/>
      <w:marLeft w:val="0"/>
      <w:marRight w:val="0"/>
      <w:marTop w:val="0"/>
      <w:marBottom w:val="0"/>
      <w:divBdr>
        <w:top w:val="none" w:sz="0" w:space="0" w:color="auto"/>
        <w:left w:val="none" w:sz="0" w:space="0" w:color="auto"/>
        <w:bottom w:val="none" w:sz="0" w:space="0" w:color="auto"/>
        <w:right w:val="none" w:sz="0" w:space="0" w:color="auto"/>
      </w:divBdr>
    </w:div>
    <w:div w:id="1207136261">
      <w:bodyDiv w:val="1"/>
      <w:marLeft w:val="0"/>
      <w:marRight w:val="0"/>
      <w:marTop w:val="0"/>
      <w:marBottom w:val="0"/>
      <w:divBdr>
        <w:top w:val="none" w:sz="0" w:space="0" w:color="auto"/>
        <w:left w:val="none" w:sz="0" w:space="0" w:color="auto"/>
        <w:bottom w:val="none" w:sz="0" w:space="0" w:color="auto"/>
        <w:right w:val="none" w:sz="0" w:space="0" w:color="auto"/>
      </w:divBdr>
    </w:div>
    <w:div w:id="1234268806">
      <w:bodyDiv w:val="1"/>
      <w:marLeft w:val="0"/>
      <w:marRight w:val="0"/>
      <w:marTop w:val="0"/>
      <w:marBottom w:val="0"/>
      <w:divBdr>
        <w:top w:val="none" w:sz="0" w:space="0" w:color="auto"/>
        <w:left w:val="none" w:sz="0" w:space="0" w:color="auto"/>
        <w:bottom w:val="none" w:sz="0" w:space="0" w:color="auto"/>
        <w:right w:val="none" w:sz="0" w:space="0" w:color="auto"/>
      </w:divBdr>
    </w:div>
    <w:div w:id="1245140213">
      <w:bodyDiv w:val="1"/>
      <w:marLeft w:val="0"/>
      <w:marRight w:val="0"/>
      <w:marTop w:val="0"/>
      <w:marBottom w:val="0"/>
      <w:divBdr>
        <w:top w:val="none" w:sz="0" w:space="0" w:color="auto"/>
        <w:left w:val="none" w:sz="0" w:space="0" w:color="auto"/>
        <w:bottom w:val="none" w:sz="0" w:space="0" w:color="auto"/>
        <w:right w:val="none" w:sz="0" w:space="0" w:color="auto"/>
      </w:divBdr>
    </w:div>
    <w:div w:id="1248347447">
      <w:bodyDiv w:val="1"/>
      <w:marLeft w:val="0"/>
      <w:marRight w:val="0"/>
      <w:marTop w:val="0"/>
      <w:marBottom w:val="0"/>
      <w:divBdr>
        <w:top w:val="none" w:sz="0" w:space="0" w:color="auto"/>
        <w:left w:val="none" w:sz="0" w:space="0" w:color="auto"/>
        <w:bottom w:val="none" w:sz="0" w:space="0" w:color="auto"/>
        <w:right w:val="none" w:sz="0" w:space="0" w:color="auto"/>
      </w:divBdr>
    </w:div>
    <w:div w:id="1255480761">
      <w:bodyDiv w:val="1"/>
      <w:marLeft w:val="0"/>
      <w:marRight w:val="0"/>
      <w:marTop w:val="0"/>
      <w:marBottom w:val="0"/>
      <w:divBdr>
        <w:top w:val="none" w:sz="0" w:space="0" w:color="auto"/>
        <w:left w:val="none" w:sz="0" w:space="0" w:color="auto"/>
        <w:bottom w:val="none" w:sz="0" w:space="0" w:color="auto"/>
        <w:right w:val="none" w:sz="0" w:space="0" w:color="auto"/>
      </w:divBdr>
    </w:div>
    <w:div w:id="1262448456">
      <w:bodyDiv w:val="1"/>
      <w:marLeft w:val="0"/>
      <w:marRight w:val="0"/>
      <w:marTop w:val="0"/>
      <w:marBottom w:val="0"/>
      <w:divBdr>
        <w:top w:val="none" w:sz="0" w:space="0" w:color="auto"/>
        <w:left w:val="none" w:sz="0" w:space="0" w:color="auto"/>
        <w:bottom w:val="none" w:sz="0" w:space="0" w:color="auto"/>
        <w:right w:val="none" w:sz="0" w:space="0" w:color="auto"/>
      </w:divBdr>
    </w:div>
    <w:div w:id="1279028096">
      <w:bodyDiv w:val="1"/>
      <w:marLeft w:val="0"/>
      <w:marRight w:val="0"/>
      <w:marTop w:val="0"/>
      <w:marBottom w:val="0"/>
      <w:divBdr>
        <w:top w:val="none" w:sz="0" w:space="0" w:color="auto"/>
        <w:left w:val="none" w:sz="0" w:space="0" w:color="auto"/>
        <w:bottom w:val="none" w:sz="0" w:space="0" w:color="auto"/>
        <w:right w:val="none" w:sz="0" w:space="0" w:color="auto"/>
      </w:divBdr>
      <w:divsChild>
        <w:div w:id="148910112">
          <w:marLeft w:val="0"/>
          <w:marRight w:val="0"/>
          <w:marTop w:val="0"/>
          <w:marBottom w:val="0"/>
          <w:divBdr>
            <w:top w:val="none" w:sz="0" w:space="0" w:color="auto"/>
            <w:left w:val="none" w:sz="0" w:space="0" w:color="auto"/>
            <w:bottom w:val="none" w:sz="0" w:space="0" w:color="auto"/>
            <w:right w:val="none" w:sz="0" w:space="0" w:color="auto"/>
          </w:divBdr>
          <w:divsChild>
            <w:div w:id="38097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715116">
      <w:bodyDiv w:val="1"/>
      <w:marLeft w:val="0"/>
      <w:marRight w:val="0"/>
      <w:marTop w:val="0"/>
      <w:marBottom w:val="0"/>
      <w:divBdr>
        <w:top w:val="none" w:sz="0" w:space="0" w:color="auto"/>
        <w:left w:val="none" w:sz="0" w:space="0" w:color="auto"/>
        <w:bottom w:val="none" w:sz="0" w:space="0" w:color="auto"/>
        <w:right w:val="none" w:sz="0" w:space="0" w:color="auto"/>
      </w:divBdr>
    </w:div>
    <w:div w:id="1327048547">
      <w:bodyDiv w:val="1"/>
      <w:marLeft w:val="0"/>
      <w:marRight w:val="0"/>
      <w:marTop w:val="0"/>
      <w:marBottom w:val="0"/>
      <w:divBdr>
        <w:top w:val="none" w:sz="0" w:space="0" w:color="auto"/>
        <w:left w:val="none" w:sz="0" w:space="0" w:color="auto"/>
        <w:bottom w:val="none" w:sz="0" w:space="0" w:color="auto"/>
        <w:right w:val="none" w:sz="0" w:space="0" w:color="auto"/>
      </w:divBdr>
    </w:div>
    <w:div w:id="1331913244">
      <w:bodyDiv w:val="1"/>
      <w:marLeft w:val="0"/>
      <w:marRight w:val="0"/>
      <w:marTop w:val="0"/>
      <w:marBottom w:val="0"/>
      <w:divBdr>
        <w:top w:val="none" w:sz="0" w:space="0" w:color="auto"/>
        <w:left w:val="none" w:sz="0" w:space="0" w:color="auto"/>
        <w:bottom w:val="none" w:sz="0" w:space="0" w:color="auto"/>
        <w:right w:val="none" w:sz="0" w:space="0" w:color="auto"/>
      </w:divBdr>
    </w:div>
    <w:div w:id="1344866477">
      <w:bodyDiv w:val="1"/>
      <w:marLeft w:val="0"/>
      <w:marRight w:val="0"/>
      <w:marTop w:val="0"/>
      <w:marBottom w:val="0"/>
      <w:divBdr>
        <w:top w:val="none" w:sz="0" w:space="0" w:color="auto"/>
        <w:left w:val="none" w:sz="0" w:space="0" w:color="auto"/>
        <w:bottom w:val="none" w:sz="0" w:space="0" w:color="auto"/>
        <w:right w:val="none" w:sz="0" w:space="0" w:color="auto"/>
      </w:divBdr>
    </w:div>
    <w:div w:id="1345588732">
      <w:bodyDiv w:val="1"/>
      <w:marLeft w:val="0"/>
      <w:marRight w:val="0"/>
      <w:marTop w:val="0"/>
      <w:marBottom w:val="0"/>
      <w:divBdr>
        <w:top w:val="none" w:sz="0" w:space="0" w:color="auto"/>
        <w:left w:val="none" w:sz="0" w:space="0" w:color="auto"/>
        <w:bottom w:val="none" w:sz="0" w:space="0" w:color="auto"/>
        <w:right w:val="none" w:sz="0" w:space="0" w:color="auto"/>
      </w:divBdr>
    </w:div>
    <w:div w:id="1365061158">
      <w:bodyDiv w:val="1"/>
      <w:marLeft w:val="0"/>
      <w:marRight w:val="0"/>
      <w:marTop w:val="0"/>
      <w:marBottom w:val="0"/>
      <w:divBdr>
        <w:top w:val="none" w:sz="0" w:space="0" w:color="auto"/>
        <w:left w:val="none" w:sz="0" w:space="0" w:color="auto"/>
        <w:bottom w:val="none" w:sz="0" w:space="0" w:color="auto"/>
        <w:right w:val="none" w:sz="0" w:space="0" w:color="auto"/>
      </w:divBdr>
    </w:div>
    <w:div w:id="1378238193">
      <w:bodyDiv w:val="1"/>
      <w:marLeft w:val="0"/>
      <w:marRight w:val="0"/>
      <w:marTop w:val="0"/>
      <w:marBottom w:val="0"/>
      <w:divBdr>
        <w:top w:val="none" w:sz="0" w:space="0" w:color="auto"/>
        <w:left w:val="none" w:sz="0" w:space="0" w:color="auto"/>
        <w:bottom w:val="none" w:sz="0" w:space="0" w:color="auto"/>
        <w:right w:val="none" w:sz="0" w:space="0" w:color="auto"/>
      </w:divBdr>
    </w:div>
    <w:div w:id="1381321235">
      <w:bodyDiv w:val="1"/>
      <w:marLeft w:val="0"/>
      <w:marRight w:val="0"/>
      <w:marTop w:val="0"/>
      <w:marBottom w:val="0"/>
      <w:divBdr>
        <w:top w:val="none" w:sz="0" w:space="0" w:color="auto"/>
        <w:left w:val="none" w:sz="0" w:space="0" w:color="auto"/>
        <w:bottom w:val="none" w:sz="0" w:space="0" w:color="auto"/>
        <w:right w:val="none" w:sz="0" w:space="0" w:color="auto"/>
      </w:divBdr>
    </w:div>
    <w:div w:id="1407334866">
      <w:bodyDiv w:val="1"/>
      <w:marLeft w:val="0"/>
      <w:marRight w:val="0"/>
      <w:marTop w:val="0"/>
      <w:marBottom w:val="0"/>
      <w:divBdr>
        <w:top w:val="none" w:sz="0" w:space="0" w:color="auto"/>
        <w:left w:val="none" w:sz="0" w:space="0" w:color="auto"/>
        <w:bottom w:val="none" w:sz="0" w:space="0" w:color="auto"/>
        <w:right w:val="none" w:sz="0" w:space="0" w:color="auto"/>
      </w:divBdr>
    </w:div>
    <w:div w:id="1427506209">
      <w:bodyDiv w:val="1"/>
      <w:marLeft w:val="0"/>
      <w:marRight w:val="0"/>
      <w:marTop w:val="0"/>
      <w:marBottom w:val="0"/>
      <w:divBdr>
        <w:top w:val="none" w:sz="0" w:space="0" w:color="auto"/>
        <w:left w:val="none" w:sz="0" w:space="0" w:color="auto"/>
        <w:bottom w:val="none" w:sz="0" w:space="0" w:color="auto"/>
        <w:right w:val="none" w:sz="0" w:space="0" w:color="auto"/>
      </w:divBdr>
    </w:div>
    <w:div w:id="1432899227">
      <w:bodyDiv w:val="1"/>
      <w:marLeft w:val="0"/>
      <w:marRight w:val="0"/>
      <w:marTop w:val="0"/>
      <w:marBottom w:val="0"/>
      <w:divBdr>
        <w:top w:val="none" w:sz="0" w:space="0" w:color="auto"/>
        <w:left w:val="none" w:sz="0" w:space="0" w:color="auto"/>
        <w:bottom w:val="none" w:sz="0" w:space="0" w:color="auto"/>
        <w:right w:val="none" w:sz="0" w:space="0" w:color="auto"/>
      </w:divBdr>
    </w:div>
    <w:div w:id="1456681765">
      <w:bodyDiv w:val="1"/>
      <w:marLeft w:val="0"/>
      <w:marRight w:val="0"/>
      <w:marTop w:val="0"/>
      <w:marBottom w:val="0"/>
      <w:divBdr>
        <w:top w:val="none" w:sz="0" w:space="0" w:color="auto"/>
        <w:left w:val="none" w:sz="0" w:space="0" w:color="auto"/>
        <w:bottom w:val="none" w:sz="0" w:space="0" w:color="auto"/>
        <w:right w:val="none" w:sz="0" w:space="0" w:color="auto"/>
      </w:divBdr>
    </w:div>
    <w:div w:id="1466703075">
      <w:bodyDiv w:val="1"/>
      <w:marLeft w:val="0"/>
      <w:marRight w:val="0"/>
      <w:marTop w:val="0"/>
      <w:marBottom w:val="0"/>
      <w:divBdr>
        <w:top w:val="none" w:sz="0" w:space="0" w:color="auto"/>
        <w:left w:val="none" w:sz="0" w:space="0" w:color="auto"/>
        <w:bottom w:val="none" w:sz="0" w:space="0" w:color="auto"/>
        <w:right w:val="none" w:sz="0" w:space="0" w:color="auto"/>
      </w:divBdr>
    </w:div>
    <w:div w:id="1481918938">
      <w:bodyDiv w:val="1"/>
      <w:marLeft w:val="0"/>
      <w:marRight w:val="0"/>
      <w:marTop w:val="0"/>
      <w:marBottom w:val="0"/>
      <w:divBdr>
        <w:top w:val="none" w:sz="0" w:space="0" w:color="auto"/>
        <w:left w:val="none" w:sz="0" w:space="0" w:color="auto"/>
        <w:bottom w:val="none" w:sz="0" w:space="0" w:color="auto"/>
        <w:right w:val="none" w:sz="0" w:space="0" w:color="auto"/>
      </w:divBdr>
    </w:div>
    <w:div w:id="1486782194">
      <w:bodyDiv w:val="1"/>
      <w:marLeft w:val="0"/>
      <w:marRight w:val="0"/>
      <w:marTop w:val="0"/>
      <w:marBottom w:val="0"/>
      <w:divBdr>
        <w:top w:val="none" w:sz="0" w:space="0" w:color="auto"/>
        <w:left w:val="none" w:sz="0" w:space="0" w:color="auto"/>
        <w:bottom w:val="none" w:sz="0" w:space="0" w:color="auto"/>
        <w:right w:val="none" w:sz="0" w:space="0" w:color="auto"/>
      </w:divBdr>
    </w:div>
    <w:div w:id="1493566223">
      <w:bodyDiv w:val="1"/>
      <w:marLeft w:val="0"/>
      <w:marRight w:val="0"/>
      <w:marTop w:val="0"/>
      <w:marBottom w:val="0"/>
      <w:divBdr>
        <w:top w:val="none" w:sz="0" w:space="0" w:color="auto"/>
        <w:left w:val="none" w:sz="0" w:space="0" w:color="auto"/>
        <w:bottom w:val="none" w:sz="0" w:space="0" w:color="auto"/>
        <w:right w:val="none" w:sz="0" w:space="0" w:color="auto"/>
      </w:divBdr>
    </w:div>
    <w:div w:id="1510870392">
      <w:bodyDiv w:val="1"/>
      <w:marLeft w:val="0"/>
      <w:marRight w:val="0"/>
      <w:marTop w:val="0"/>
      <w:marBottom w:val="0"/>
      <w:divBdr>
        <w:top w:val="none" w:sz="0" w:space="0" w:color="auto"/>
        <w:left w:val="none" w:sz="0" w:space="0" w:color="auto"/>
        <w:bottom w:val="none" w:sz="0" w:space="0" w:color="auto"/>
        <w:right w:val="none" w:sz="0" w:space="0" w:color="auto"/>
      </w:divBdr>
    </w:div>
    <w:div w:id="1555241989">
      <w:bodyDiv w:val="1"/>
      <w:marLeft w:val="0"/>
      <w:marRight w:val="0"/>
      <w:marTop w:val="0"/>
      <w:marBottom w:val="0"/>
      <w:divBdr>
        <w:top w:val="none" w:sz="0" w:space="0" w:color="auto"/>
        <w:left w:val="none" w:sz="0" w:space="0" w:color="auto"/>
        <w:bottom w:val="none" w:sz="0" w:space="0" w:color="auto"/>
        <w:right w:val="none" w:sz="0" w:space="0" w:color="auto"/>
      </w:divBdr>
    </w:div>
    <w:div w:id="1559709744">
      <w:bodyDiv w:val="1"/>
      <w:marLeft w:val="0"/>
      <w:marRight w:val="0"/>
      <w:marTop w:val="0"/>
      <w:marBottom w:val="0"/>
      <w:divBdr>
        <w:top w:val="none" w:sz="0" w:space="0" w:color="auto"/>
        <w:left w:val="none" w:sz="0" w:space="0" w:color="auto"/>
        <w:bottom w:val="none" w:sz="0" w:space="0" w:color="auto"/>
        <w:right w:val="none" w:sz="0" w:space="0" w:color="auto"/>
      </w:divBdr>
    </w:div>
    <w:div w:id="1590851950">
      <w:bodyDiv w:val="1"/>
      <w:marLeft w:val="0"/>
      <w:marRight w:val="0"/>
      <w:marTop w:val="0"/>
      <w:marBottom w:val="0"/>
      <w:divBdr>
        <w:top w:val="none" w:sz="0" w:space="0" w:color="auto"/>
        <w:left w:val="none" w:sz="0" w:space="0" w:color="auto"/>
        <w:bottom w:val="none" w:sz="0" w:space="0" w:color="auto"/>
        <w:right w:val="none" w:sz="0" w:space="0" w:color="auto"/>
      </w:divBdr>
    </w:div>
    <w:div w:id="1590894388">
      <w:bodyDiv w:val="1"/>
      <w:marLeft w:val="0"/>
      <w:marRight w:val="0"/>
      <w:marTop w:val="0"/>
      <w:marBottom w:val="0"/>
      <w:divBdr>
        <w:top w:val="none" w:sz="0" w:space="0" w:color="auto"/>
        <w:left w:val="none" w:sz="0" w:space="0" w:color="auto"/>
        <w:bottom w:val="none" w:sz="0" w:space="0" w:color="auto"/>
        <w:right w:val="none" w:sz="0" w:space="0" w:color="auto"/>
      </w:divBdr>
    </w:div>
    <w:div w:id="1663508060">
      <w:bodyDiv w:val="1"/>
      <w:marLeft w:val="0"/>
      <w:marRight w:val="0"/>
      <w:marTop w:val="0"/>
      <w:marBottom w:val="0"/>
      <w:divBdr>
        <w:top w:val="none" w:sz="0" w:space="0" w:color="auto"/>
        <w:left w:val="none" w:sz="0" w:space="0" w:color="auto"/>
        <w:bottom w:val="none" w:sz="0" w:space="0" w:color="auto"/>
        <w:right w:val="none" w:sz="0" w:space="0" w:color="auto"/>
      </w:divBdr>
    </w:div>
    <w:div w:id="1667171180">
      <w:bodyDiv w:val="1"/>
      <w:marLeft w:val="0"/>
      <w:marRight w:val="0"/>
      <w:marTop w:val="0"/>
      <w:marBottom w:val="0"/>
      <w:divBdr>
        <w:top w:val="none" w:sz="0" w:space="0" w:color="auto"/>
        <w:left w:val="none" w:sz="0" w:space="0" w:color="auto"/>
        <w:bottom w:val="none" w:sz="0" w:space="0" w:color="auto"/>
        <w:right w:val="none" w:sz="0" w:space="0" w:color="auto"/>
      </w:divBdr>
    </w:div>
    <w:div w:id="1686441914">
      <w:bodyDiv w:val="1"/>
      <w:marLeft w:val="0"/>
      <w:marRight w:val="0"/>
      <w:marTop w:val="0"/>
      <w:marBottom w:val="0"/>
      <w:divBdr>
        <w:top w:val="none" w:sz="0" w:space="0" w:color="auto"/>
        <w:left w:val="none" w:sz="0" w:space="0" w:color="auto"/>
        <w:bottom w:val="none" w:sz="0" w:space="0" w:color="auto"/>
        <w:right w:val="none" w:sz="0" w:space="0" w:color="auto"/>
      </w:divBdr>
    </w:div>
    <w:div w:id="1688672128">
      <w:bodyDiv w:val="1"/>
      <w:marLeft w:val="0"/>
      <w:marRight w:val="0"/>
      <w:marTop w:val="0"/>
      <w:marBottom w:val="0"/>
      <w:divBdr>
        <w:top w:val="none" w:sz="0" w:space="0" w:color="auto"/>
        <w:left w:val="none" w:sz="0" w:space="0" w:color="auto"/>
        <w:bottom w:val="none" w:sz="0" w:space="0" w:color="auto"/>
        <w:right w:val="none" w:sz="0" w:space="0" w:color="auto"/>
      </w:divBdr>
    </w:div>
    <w:div w:id="1689794138">
      <w:bodyDiv w:val="1"/>
      <w:marLeft w:val="0"/>
      <w:marRight w:val="0"/>
      <w:marTop w:val="0"/>
      <w:marBottom w:val="0"/>
      <w:divBdr>
        <w:top w:val="none" w:sz="0" w:space="0" w:color="auto"/>
        <w:left w:val="none" w:sz="0" w:space="0" w:color="auto"/>
        <w:bottom w:val="none" w:sz="0" w:space="0" w:color="auto"/>
        <w:right w:val="none" w:sz="0" w:space="0" w:color="auto"/>
      </w:divBdr>
    </w:div>
    <w:div w:id="1700616861">
      <w:bodyDiv w:val="1"/>
      <w:marLeft w:val="0"/>
      <w:marRight w:val="0"/>
      <w:marTop w:val="0"/>
      <w:marBottom w:val="0"/>
      <w:divBdr>
        <w:top w:val="none" w:sz="0" w:space="0" w:color="auto"/>
        <w:left w:val="none" w:sz="0" w:space="0" w:color="auto"/>
        <w:bottom w:val="none" w:sz="0" w:space="0" w:color="auto"/>
        <w:right w:val="none" w:sz="0" w:space="0" w:color="auto"/>
      </w:divBdr>
    </w:div>
    <w:div w:id="1721827335">
      <w:bodyDiv w:val="1"/>
      <w:marLeft w:val="0"/>
      <w:marRight w:val="0"/>
      <w:marTop w:val="0"/>
      <w:marBottom w:val="0"/>
      <w:divBdr>
        <w:top w:val="none" w:sz="0" w:space="0" w:color="auto"/>
        <w:left w:val="none" w:sz="0" w:space="0" w:color="auto"/>
        <w:bottom w:val="none" w:sz="0" w:space="0" w:color="auto"/>
        <w:right w:val="none" w:sz="0" w:space="0" w:color="auto"/>
      </w:divBdr>
    </w:div>
    <w:div w:id="1722634396">
      <w:bodyDiv w:val="1"/>
      <w:marLeft w:val="0"/>
      <w:marRight w:val="0"/>
      <w:marTop w:val="0"/>
      <w:marBottom w:val="0"/>
      <w:divBdr>
        <w:top w:val="none" w:sz="0" w:space="0" w:color="auto"/>
        <w:left w:val="none" w:sz="0" w:space="0" w:color="auto"/>
        <w:bottom w:val="none" w:sz="0" w:space="0" w:color="auto"/>
        <w:right w:val="none" w:sz="0" w:space="0" w:color="auto"/>
      </w:divBdr>
    </w:div>
    <w:div w:id="1734506734">
      <w:bodyDiv w:val="1"/>
      <w:marLeft w:val="0"/>
      <w:marRight w:val="0"/>
      <w:marTop w:val="0"/>
      <w:marBottom w:val="0"/>
      <w:divBdr>
        <w:top w:val="none" w:sz="0" w:space="0" w:color="auto"/>
        <w:left w:val="none" w:sz="0" w:space="0" w:color="auto"/>
        <w:bottom w:val="none" w:sz="0" w:space="0" w:color="auto"/>
        <w:right w:val="none" w:sz="0" w:space="0" w:color="auto"/>
      </w:divBdr>
    </w:div>
    <w:div w:id="1745569370">
      <w:bodyDiv w:val="1"/>
      <w:marLeft w:val="0"/>
      <w:marRight w:val="0"/>
      <w:marTop w:val="0"/>
      <w:marBottom w:val="0"/>
      <w:divBdr>
        <w:top w:val="none" w:sz="0" w:space="0" w:color="auto"/>
        <w:left w:val="none" w:sz="0" w:space="0" w:color="auto"/>
        <w:bottom w:val="none" w:sz="0" w:space="0" w:color="auto"/>
        <w:right w:val="none" w:sz="0" w:space="0" w:color="auto"/>
      </w:divBdr>
    </w:div>
    <w:div w:id="1750343667">
      <w:bodyDiv w:val="1"/>
      <w:marLeft w:val="0"/>
      <w:marRight w:val="0"/>
      <w:marTop w:val="0"/>
      <w:marBottom w:val="0"/>
      <w:divBdr>
        <w:top w:val="none" w:sz="0" w:space="0" w:color="auto"/>
        <w:left w:val="none" w:sz="0" w:space="0" w:color="auto"/>
        <w:bottom w:val="none" w:sz="0" w:space="0" w:color="auto"/>
        <w:right w:val="none" w:sz="0" w:space="0" w:color="auto"/>
      </w:divBdr>
    </w:div>
    <w:div w:id="1784033666">
      <w:bodyDiv w:val="1"/>
      <w:marLeft w:val="0"/>
      <w:marRight w:val="0"/>
      <w:marTop w:val="0"/>
      <w:marBottom w:val="0"/>
      <w:divBdr>
        <w:top w:val="none" w:sz="0" w:space="0" w:color="auto"/>
        <w:left w:val="none" w:sz="0" w:space="0" w:color="auto"/>
        <w:bottom w:val="none" w:sz="0" w:space="0" w:color="auto"/>
        <w:right w:val="none" w:sz="0" w:space="0" w:color="auto"/>
      </w:divBdr>
    </w:div>
    <w:div w:id="1799688618">
      <w:bodyDiv w:val="1"/>
      <w:marLeft w:val="0"/>
      <w:marRight w:val="0"/>
      <w:marTop w:val="0"/>
      <w:marBottom w:val="0"/>
      <w:divBdr>
        <w:top w:val="none" w:sz="0" w:space="0" w:color="auto"/>
        <w:left w:val="none" w:sz="0" w:space="0" w:color="auto"/>
        <w:bottom w:val="none" w:sz="0" w:space="0" w:color="auto"/>
        <w:right w:val="none" w:sz="0" w:space="0" w:color="auto"/>
      </w:divBdr>
    </w:div>
    <w:div w:id="1800687935">
      <w:bodyDiv w:val="1"/>
      <w:marLeft w:val="0"/>
      <w:marRight w:val="0"/>
      <w:marTop w:val="0"/>
      <w:marBottom w:val="0"/>
      <w:divBdr>
        <w:top w:val="none" w:sz="0" w:space="0" w:color="auto"/>
        <w:left w:val="none" w:sz="0" w:space="0" w:color="auto"/>
        <w:bottom w:val="none" w:sz="0" w:space="0" w:color="auto"/>
        <w:right w:val="none" w:sz="0" w:space="0" w:color="auto"/>
      </w:divBdr>
    </w:div>
    <w:div w:id="1803116914">
      <w:bodyDiv w:val="1"/>
      <w:marLeft w:val="0"/>
      <w:marRight w:val="0"/>
      <w:marTop w:val="0"/>
      <w:marBottom w:val="0"/>
      <w:divBdr>
        <w:top w:val="none" w:sz="0" w:space="0" w:color="auto"/>
        <w:left w:val="none" w:sz="0" w:space="0" w:color="auto"/>
        <w:bottom w:val="none" w:sz="0" w:space="0" w:color="auto"/>
        <w:right w:val="none" w:sz="0" w:space="0" w:color="auto"/>
      </w:divBdr>
    </w:div>
    <w:div w:id="1825701921">
      <w:bodyDiv w:val="1"/>
      <w:marLeft w:val="0"/>
      <w:marRight w:val="0"/>
      <w:marTop w:val="0"/>
      <w:marBottom w:val="0"/>
      <w:divBdr>
        <w:top w:val="none" w:sz="0" w:space="0" w:color="auto"/>
        <w:left w:val="none" w:sz="0" w:space="0" w:color="auto"/>
        <w:bottom w:val="none" w:sz="0" w:space="0" w:color="auto"/>
        <w:right w:val="none" w:sz="0" w:space="0" w:color="auto"/>
      </w:divBdr>
    </w:div>
    <w:div w:id="1828352224">
      <w:bodyDiv w:val="1"/>
      <w:marLeft w:val="0"/>
      <w:marRight w:val="0"/>
      <w:marTop w:val="0"/>
      <w:marBottom w:val="0"/>
      <w:divBdr>
        <w:top w:val="none" w:sz="0" w:space="0" w:color="auto"/>
        <w:left w:val="none" w:sz="0" w:space="0" w:color="auto"/>
        <w:bottom w:val="none" w:sz="0" w:space="0" w:color="auto"/>
        <w:right w:val="none" w:sz="0" w:space="0" w:color="auto"/>
      </w:divBdr>
      <w:divsChild>
        <w:div w:id="120615544">
          <w:marLeft w:val="0"/>
          <w:marRight w:val="0"/>
          <w:marTop w:val="0"/>
          <w:marBottom w:val="0"/>
          <w:divBdr>
            <w:top w:val="none" w:sz="0" w:space="0" w:color="auto"/>
            <w:left w:val="none" w:sz="0" w:space="0" w:color="auto"/>
            <w:bottom w:val="none" w:sz="0" w:space="0" w:color="auto"/>
            <w:right w:val="none" w:sz="0" w:space="0" w:color="auto"/>
          </w:divBdr>
        </w:div>
        <w:div w:id="896429144">
          <w:marLeft w:val="0"/>
          <w:marRight w:val="0"/>
          <w:marTop w:val="0"/>
          <w:marBottom w:val="0"/>
          <w:divBdr>
            <w:top w:val="none" w:sz="0" w:space="0" w:color="auto"/>
            <w:left w:val="none" w:sz="0" w:space="0" w:color="auto"/>
            <w:bottom w:val="none" w:sz="0" w:space="0" w:color="auto"/>
            <w:right w:val="none" w:sz="0" w:space="0" w:color="auto"/>
          </w:divBdr>
        </w:div>
        <w:div w:id="1430082692">
          <w:marLeft w:val="0"/>
          <w:marRight w:val="0"/>
          <w:marTop w:val="0"/>
          <w:marBottom w:val="0"/>
          <w:divBdr>
            <w:top w:val="none" w:sz="0" w:space="0" w:color="auto"/>
            <w:left w:val="none" w:sz="0" w:space="0" w:color="auto"/>
            <w:bottom w:val="none" w:sz="0" w:space="0" w:color="auto"/>
            <w:right w:val="none" w:sz="0" w:space="0" w:color="auto"/>
          </w:divBdr>
        </w:div>
        <w:div w:id="1838422774">
          <w:marLeft w:val="0"/>
          <w:marRight w:val="0"/>
          <w:marTop w:val="0"/>
          <w:marBottom w:val="0"/>
          <w:divBdr>
            <w:top w:val="none" w:sz="0" w:space="0" w:color="auto"/>
            <w:left w:val="none" w:sz="0" w:space="0" w:color="auto"/>
            <w:bottom w:val="none" w:sz="0" w:space="0" w:color="auto"/>
            <w:right w:val="none" w:sz="0" w:space="0" w:color="auto"/>
          </w:divBdr>
        </w:div>
        <w:div w:id="2131051242">
          <w:marLeft w:val="0"/>
          <w:marRight w:val="0"/>
          <w:marTop w:val="0"/>
          <w:marBottom w:val="0"/>
          <w:divBdr>
            <w:top w:val="none" w:sz="0" w:space="0" w:color="auto"/>
            <w:left w:val="none" w:sz="0" w:space="0" w:color="auto"/>
            <w:bottom w:val="none" w:sz="0" w:space="0" w:color="auto"/>
            <w:right w:val="none" w:sz="0" w:space="0" w:color="auto"/>
          </w:divBdr>
        </w:div>
      </w:divsChild>
    </w:div>
    <w:div w:id="1845240782">
      <w:bodyDiv w:val="1"/>
      <w:marLeft w:val="0"/>
      <w:marRight w:val="0"/>
      <w:marTop w:val="0"/>
      <w:marBottom w:val="0"/>
      <w:divBdr>
        <w:top w:val="none" w:sz="0" w:space="0" w:color="auto"/>
        <w:left w:val="none" w:sz="0" w:space="0" w:color="auto"/>
        <w:bottom w:val="none" w:sz="0" w:space="0" w:color="auto"/>
        <w:right w:val="none" w:sz="0" w:space="0" w:color="auto"/>
      </w:divBdr>
    </w:div>
    <w:div w:id="1885675073">
      <w:bodyDiv w:val="1"/>
      <w:marLeft w:val="0"/>
      <w:marRight w:val="0"/>
      <w:marTop w:val="0"/>
      <w:marBottom w:val="0"/>
      <w:divBdr>
        <w:top w:val="none" w:sz="0" w:space="0" w:color="auto"/>
        <w:left w:val="none" w:sz="0" w:space="0" w:color="auto"/>
        <w:bottom w:val="none" w:sz="0" w:space="0" w:color="auto"/>
        <w:right w:val="none" w:sz="0" w:space="0" w:color="auto"/>
      </w:divBdr>
    </w:div>
    <w:div w:id="1899825483">
      <w:bodyDiv w:val="1"/>
      <w:marLeft w:val="0"/>
      <w:marRight w:val="0"/>
      <w:marTop w:val="0"/>
      <w:marBottom w:val="0"/>
      <w:divBdr>
        <w:top w:val="none" w:sz="0" w:space="0" w:color="auto"/>
        <w:left w:val="none" w:sz="0" w:space="0" w:color="auto"/>
        <w:bottom w:val="none" w:sz="0" w:space="0" w:color="auto"/>
        <w:right w:val="none" w:sz="0" w:space="0" w:color="auto"/>
      </w:divBdr>
    </w:div>
    <w:div w:id="1911042989">
      <w:bodyDiv w:val="1"/>
      <w:marLeft w:val="0"/>
      <w:marRight w:val="0"/>
      <w:marTop w:val="0"/>
      <w:marBottom w:val="0"/>
      <w:divBdr>
        <w:top w:val="none" w:sz="0" w:space="0" w:color="auto"/>
        <w:left w:val="none" w:sz="0" w:space="0" w:color="auto"/>
        <w:bottom w:val="none" w:sz="0" w:space="0" w:color="auto"/>
        <w:right w:val="none" w:sz="0" w:space="0" w:color="auto"/>
      </w:divBdr>
    </w:div>
    <w:div w:id="1911961298">
      <w:bodyDiv w:val="1"/>
      <w:marLeft w:val="0"/>
      <w:marRight w:val="0"/>
      <w:marTop w:val="0"/>
      <w:marBottom w:val="0"/>
      <w:divBdr>
        <w:top w:val="none" w:sz="0" w:space="0" w:color="auto"/>
        <w:left w:val="none" w:sz="0" w:space="0" w:color="auto"/>
        <w:bottom w:val="none" w:sz="0" w:space="0" w:color="auto"/>
        <w:right w:val="none" w:sz="0" w:space="0" w:color="auto"/>
      </w:divBdr>
    </w:div>
    <w:div w:id="1916469838">
      <w:bodyDiv w:val="1"/>
      <w:marLeft w:val="0"/>
      <w:marRight w:val="0"/>
      <w:marTop w:val="0"/>
      <w:marBottom w:val="0"/>
      <w:divBdr>
        <w:top w:val="none" w:sz="0" w:space="0" w:color="auto"/>
        <w:left w:val="none" w:sz="0" w:space="0" w:color="auto"/>
        <w:bottom w:val="none" w:sz="0" w:space="0" w:color="auto"/>
        <w:right w:val="none" w:sz="0" w:space="0" w:color="auto"/>
      </w:divBdr>
    </w:div>
    <w:div w:id="1929342037">
      <w:bodyDiv w:val="1"/>
      <w:marLeft w:val="0"/>
      <w:marRight w:val="0"/>
      <w:marTop w:val="0"/>
      <w:marBottom w:val="0"/>
      <w:divBdr>
        <w:top w:val="none" w:sz="0" w:space="0" w:color="auto"/>
        <w:left w:val="none" w:sz="0" w:space="0" w:color="auto"/>
        <w:bottom w:val="none" w:sz="0" w:space="0" w:color="auto"/>
        <w:right w:val="none" w:sz="0" w:space="0" w:color="auto"/>
      </w:divBdr>
    </w:div>
    <w:div w:id="1929846301">
      <w:bodyDiv w:val="1"/>
      <w:marLeft w:val="0"/>
      <w:marRight w:val="0"/>
      <w:marTop w:val="0"/>
      <w:marBottom w:val="0"/>
      <w:divBdr>
        <w:top w:val="none" w:sz="0" w:space="0" w:color="auto"/>
        <w:left w:val="none" w:sz="0" w:space="0" w:color="auto"/>
        <w:bottom w:val="none" w:sz="0" w:space="0" w:color="auto"/>
        <w:right w:val="none" w:sz="0" w:space="0" w:color="auto"/>
      </w:divBdr>
    </w:div>
    <w:div w:id="1942756846">
      <w:bodyDiv w:val="1"/>
      <w:marLeft w:val="0"/>
      <w:marRight w:val="0"/>
      <w:marTop w:val="0"/>
      <w:marBottom w:val="0"/>
      <w:divBdr>
        <w:top w:val="none" w:sz="0" w:space="0" w:color="auto"/>
        <w:left w:val="none" w:sz="0" w:space="0" w:color="auto"/>
        <w:bottom w:val="none" w:sz="0" w:space="0" w:color="auto"/>
        <w:right w:val="none" w:sz="0" w:space="0" w:color="auto"/>
      </w:divBdr>
    </w:div>
    <w:div w:id="1947612322">
      <w:bodyDiv w:val="1"/>
      <w:marLeft w:val="0"/>
      <w:marRight w:val="0"/>
      <w:marTop w:val="0"/>
      <w:marBottom w:val="0"/>
      <w:divBdr>
        <w:top w:val="none" w:sz="0" w:space="0" w:color="auto"/>
        <w:left w:val="none" w:sz="0" w:space="0" w:color="auto"/>
        <w:bottom w:val="none" w:sz="0" w:space="0" w:color="auto"/>
        <w:right w:val="none" w:sz="0" w:space="0" w:color="auto"/>
      </w:divBdr>
    </w:div>
    <w:div w:id="1981616888">
      <w:bodyDiv w:val="1"/>
      <w:marLeft w:val="0"/>
      <w:marRight w:val="0"/>
      <w:marTop w:val="0"/>
      <w:marBottom w:val="0"/>
      <w:divBdr>
        <w:top w:val="none" w:sz="0" w:space="0" w:color="auto"/>
        <w:left w:val="none" w:sz="0" w:space="0" w:color="auto"/>
        <w:bottom w:val="none" w:sz="0" w:space="0" w:color="auto"/>
        <w:right w:val="none" w:sz="0" w:space="0" w:color="auto"/>
      </w:divBdr>
    </w:div>
    <w:div w:id="2013338798">
      <w:bodyDiv w:val="1"/>
      <w:marLeft w:val="0"/>
      <w:marRight w:val="0"/>
      <w:marTop w:val="0"/>
      <w:marBottom w:val="0"/>
      <w:divBdr>
        <w:top w:val="none" w:sz="0" w:space="0" w:color="auto"/>
        <w:left w:val="none" w:sz="0" w:space="0" w:color="auto"/>
        <w:bottom w:val="none" w:sz="0" w:space="0" w:color="auto"/>
        <w:right w:val="none" w:sz="0" w:space="0" w:color="auto"/>
      </w:divBdr>
    </w:div>
    <w:div w:id="2026864063">
      <w:bodyDiv w:val="1"/>
      <w:marLeft w:val="0"/>
      <w:marRight w:val="0"/>
      <w:marTop w:val="0"/>
      <w:marBottom w:val="0"/>
      <w:divBdr>
        <w:top w:val="none" w:sz="0" w:space="0" w:color="auto"/>
        <w:left w:val="none" w:sz="0" w:space="0" w:color="auto"/>
        <w:bottom w:val="none" w:sz="0" w:space="0" w:color="auto"/>
        <w:right w:val="none" w:sz="0" w:space="0" w:color="auto"/>
      </w:divBdr>
    </w:div>
    <w:div w:id="2044818270">
      <w:bodyDiv w:val="1"/>
      <w:marLeft w:val="0"/>
      <w:marRight w:val="0"/>
      <w:marTop w:val="0"/>
      <w:marBottom w:val="0"/>
      <w:divBdr>
        <w:top w:val="none" w:sz="0" w:space="0" w:color="auto"/>
        <w:left w:val="none" w:sz="0" w:space="0" w:color="auto"/>
        <w:bottom w:val="none" w:sz="0" w:space="0" w:color="auto"/>
        <w:right w:val="none" w:sz="0" w:space="0" w:color="auto"/>
      </w:divBdr>
    </w:div>
    <w:div w:id="2059232536">
      <w:bodyDiv w:val="1"/>
      <w:marLeft w:val="0"/>
      <w:marRight w:val="0"/>
      <w:marTop w:val="0"/>
      <w:marBottom w:val="0"/>
      <w:divBdr>
        <w:top w:val="none" w:sz="0" w:space="0" w:color="auto"/>
        <w:left w:val="none" w:sz="0" w:space="0" w:color="auto"/>
        <w:bottom w:val="none" w:sz="0" w:space="0" w:color="auto"/>
        <w:right w:val="none" w:sz="0" w:space="0" w:color="auto"/>
      </w:divBdr>
    </w:div>
    <w:div w:id="2069764922">
      <w:bodyDiv w:val="1"/>
      <w:marLeft w:val="0"/>
      <w:marRight w:val="0"/>
      <w:marTop w:val="0"/>
      <w:marBottom w:val="0"/>
      <w:divBdr>
        <w:top w:val="none" w:sz="0" w:space="0" w:color="auto"/>
        <w:left w:val="none" w:sz="0" w:space="0" w:color="auto"/>
        <w:bottom w:val="none" w:sz="0" w:space="0" w:color="auto"/>
        <w:right w:val="none" w:sz="0" w:space="0" w:color="auto"/>
      </w:divBdr>
    </w:div>
    <w:div w:id="2086603981">
      <w:bodyDiv w:val="1"/>
      <w:marLeft w:val="0"/>
      <w:marRight w:val="0"/>
      <w:marTop w:val="0"/>
      <w:marBottom w:val="0"/>
      <w:divBdr>
        <w:top w:val="none" w:sz="0" w:space="0" w:color="auto"/>
        <w:left w:val="none" w:sz="0" w:space="0" w:color="auto"/>
        <w:bottom w:val="none" w:sz="0" w:space="0" w:color="auto"/>
        <w:right w:val="none" w:sz="0" w:space="0" w:color="auto"/>
      </w:divBdr>
    </w:div>
    <w:div w:id="21339840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adc02b-7cc9-4736-8b89-7694a3a12b48">
      <Terms xmlns="http://schemas.microsoft.com/office/infopath/2007/PartnerControls"/>
    </lcf76f155ced4ddcb4097134ff3c332f>
    <TaxCatchAll xmlns="af099861-8497-4a35-8ea8-f127fb0f0918" xsi:nil="true"/>
    <Year xmlns="caadc02b-7cc9-4736-8b89-7694a3a12b48" xsi:nil="true"/>
  </documentManagement>
</p:properties>
</file>

<file path=customXml/itemProps1.xml><?xml version="1.0" encoding="utf-8"?>
<ds:datastoreItem xmlns:ds="http://schemas.openxmlformats.org/officeDocument/2006/customXml" ds:itemID="{68CF3EB9-2164-45E5-8D7A-32C5406D9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4CC8CC-5C4A-46F1-B6CE-37E5C6495E03}">
  <ds:schemaRefs>
    <ds:schemaRef ds:uri="http://schemas.microsoft.com/sharepoint/v3/contenttype/forms"/>
  </ds:schemaRefs>
</ds:datastoreItem>
</file>

<file path=customXml/itemProps3.xml><?xml version="1.0" encoding="utf-8"?>
<ds:datastoreItem xmlns:ds="http://schemas.openxmlformats.org/officeDocument/2006/customXml" ds:itemID="{CDEE765E-E78F-4576-90CD-57D68E5FAD51}">
  <ds:schemaRefs>
    <ds:schemaRef ds:uri="http://schemas.openxmlformats.org/officeDocument/2006/bibliography"/>
  </ds:schemaRefs>
</ds:datastoreItem>
</file>

<file path=customXml/itemProps4.xml><?xml version="1.0" encoding="utf-8"?>
<ds:datastoreItem xmlns:ds="http://schemas.openxmlformats.org/officeDocument/2006/customXml" ds:itemID="{796F0968-5DF3-4B6D-BBAE-815F67742C46}">
  <ds:schemaRefs>
    <ds:schemaRef ds:uri="http://schemas.microsoft.com/office/2006/metadata/properties"/>
    <ds:schemaRef ds:uri="http://schemas.microsoft.com/office/infopath/2007/PartnerControls"/>
    <ds:schemaRef ds:uri="caadc02b-7cc9-4736-8b89-7694a3a12b48"/>
    <ds:schemaRef ds:uri="af099861-8497-4a35-8ea8-f127fb0f0918"/>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50</Pages>
  <Words>15849</Words>
  <Characters>79883</Characters>
  <Application>Microsoft Office Word</Application>
  <DocSecurity>0</DocSecurity>
  <Lines>1857</Lines>
  <Paragraphs>1040</Paragraphs>
  <ScaleCrop>false</ScaleCrop>
  <Company/>
  <LinksUpToDate>false</LinksUpToDate>
  <CharactersWithSpaces>94692</CharactersWithSpaces>
  <SharedDoc>false</SharedDoc>
  <HyperlinkBase/>
  <HLinks>
    <vt:vector size="6" baseType="variant">
      <vt:variant>
        <vt:i4>1966166</vt:i4>
      </vt:variant>
      <vt:variant>
        <vt:i4>0</vt:i4>
      </vt:variant>
      <vt:variant>
        <vt:i4>0</vt:i4>
      </vt:variant>
      <vt:variant>
        <vt:i4>5</vt:i4>
      </vt:variant>
      <vt:variant>
        <vt:lpwstr>https://www.smartdcc.co.uk/consultations/dsp-consultation-on-the-regulatory-changes-for-dcc-connect/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Hehir, Joseph (DCC)</dc:creator>
  <cp:keywords/>
  <dc:description/>
  <cp:lastModifiedBy>Hehir, Joseph (DCC)</cp:lastModifiedBy>
  <cp:revision>6</cp:revision>
  <dcterms:created xsi:type="dcterms:W3CDTF">2026-01-23T10:05:00Z</dcterms:created>
  <dcterms:modified xsi:type="dcterms:W3CDTF">2026-01-23T10:09:00Z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1cf65e88,2c53dd20,f284fc6</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5de6d20f,29da94b,2653044c</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2025-04-28T09:08:25Z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593569fa-be02-42d0-982e-c1e8bc03d4ee</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MSIP_Label_baac98ac-439a-49a1-8393-40c4a75c0a55_ContentBits">
    <vt:lpwstr>0</vt:lpwstr>
  </property>
  <property fmtid="{D5CDD505-2E9C-101B-9397-08002B2CF9AE}" pid="19" name="MSIP_Label_ba62f585-b40f-4ab9-bafe-39150f03d124_Method">
    <vt:lpwstr>Standard</vt:lpwstr>
  </property>
  <property fmtid="{D5CDD505-2E9C-101B-9397-08002B2CF9AE}" pid="20" name="MediaServiceImageTags">
    <vt:lpwstr/>
  </property>
  <property fmtid="{D5CDD505-2E9C-101B-9397-08002B2CF9AE}" pid="21" name="MSIP_Label_ba62f585-b40f-4ab9-bafe-39150f03d124_ContentBits">
    <vt:lpwstr>0</vt:lpwstr>
  </property>
  <property fmtid="{D5CDD505-2E9C-101B-9397-08002B2CF9AE}" pid="22" name="MSIP_Label_ba62f585-b40f-4ab9-bafe-39150f03d124_Name">
    <vt:lpwstr>OFFICIAL</vt:lpwstr>
  </property>
  <property fmtid="{D5CDD505-2E9C-101B-9397-08002B2CF9AE}" pid="23" name="ContentTypeId">
    <vt:lpwstr>0x0101004D92B00EFDEEAE479DC6E4BBBC4DC642</vt:lpwstr>
  </property>
  <property fmtid="{D5CDD505-2E9C-101B-9397-08002B2CF9AE}" pid="24" name="MSIP_Label_baac98ac-439a-49a1-8393-40c4a75c0a55_SiteId">
    <vt:lpwstr>d77ea84a-f7fd-4928-b8a3-64763b0a7710</vt:lpwstr>
  </property>
  <property fmtid="{D5CDD505-2E9C-101B-9397-08002B2CF9AE}" pid="25" name="MSIP_Label_baac98ac-439a-49a1-8393-40c4a75c0a55_Method">
    <vt:lpwstr>Privileged</vt:lpwstr>
  </property>
  <property fmtid="{D5CDD505-2E9C-101B-9397-08002B2CF9AE}" pid="26" name="MSIP_Label_8a2b8bca-8558-4eb0-9160-cb4de095652d_Name">
    <vt:lpwstr>DCC_Controlled</vt:lpwstr>
  </property>
  <property fmtid="{D5CDD505-2E9C-101B-9397-08002B2CF9AE}" pid="27" name="MSIP_Label_8a2b8bca-8558-4eb0-9160-cb4de095652d_Enabled">
    <vt:lpwstr>true</vt:lpwstr>
  </property>
  <property fmtid="{D5CDD505-2E9C-101B-9397-08002B2CF9AE}" pid="28" name="MSIP_Label_ba62f585-b40f-4ab9-bafe-39150f03d124_ActionId">
    <vt:lpwstr>4319489d-ad15-4576-a5bd-5c71b62b74db</vt:lpwstr>
  </property>
  <property fmtid="{D5CDD505-2E9C-101B-9397-08002B2CF9AE}" pid="29" name="MSIP_Label_8a2b8bca-8558-4eb0-9160-cb4de095652d_SiteId">
    <vt:lpwstr>d77ea84a-f7fd-4928-b8a3-64763b0a7710</vt:lpwstr>
  </property>
  <property fmtid="{D5CDD505-2E9C-101B-9397-08002B2CF9AE}" pid="30" name="MSIP_Label_8a2b8bca-8558-4eb0-9160-cb4de095652d_ContentBits">
    <vt:lpwstr>3</vt:lpwstr>
  </property>
  <property fmtid="{D5CDD505-2E9C-101B-9397-08002B2CF9AE}" pid="31" name="MSIP_Label_8a2b8bca-8558-4eb0-9160-cb4de095652d_Method">
    <vt:lpwstr>Privileged</vt:lpwstr>
  </property>
  <property fmtid="{D5CDD505-2E9C-101B-9397-08002B2CF9AE}" pid="32" name="MSIP_Label_8a2b8bca-8558-4eb0-9160-cb4de095652d_SetDate">
    <vt:lpwstr>2024-03-19T08:47:22Z</vt:lpwstr>
  </property>
  <property fmtid="{D5CDD505-2E9C-101B-9397-08002B2CF9AE}" pid="33" name="MSIP_Label_baac98ac-439a-49a1-8393-40c4a75c0a55_Name">
    <vt:lpwstr>Externally Classified</vt:lpwstr>
  </property>
  <property fmtid="{D5CDD505-2E9C-101B-9397-08002B2CF9AE}" pid="34" name="MSIP_Label_ba62f585-b40f-4ab9-bafe-39150f03d124_Enabled">
    <vt:lpwstr>true</vt:lpwstr>
  </property>
  <property fmtid="{D5CDD505-2E9C-101B-9397-08002B2CF9AE}" pid="35" name="MSIP_Label_baac98ac-439a-49a1-8393-40c4a75c0a55_Enabled">
    <vt:lpwstr>true</vt:lpwstr>
  </property>
  <property fmtid="{D5CDD505-2E9C-101B-9397-08002B2CF9AE}" pid="36" name="MSIP_Label_8a2b8bca-8558-4eb0-9160-cb4de095652d_ActionId">
    <vt:lpwstr>7748d340-149d-43d6-b23f-28bef6c7fecd</vt:lpwstr>
  </property>
  <property fmtid="{D5CDD505-2E9C-101B-9397-08002B2CF9AE}" pid="37" name="_dlc_DocIdItemGuid">
    <vt:lpwstr>7c7b03c2-4d3f-4b0b-a7d2-01bc6e2c88e0</vt:lpwstr>
  </property>
  <property fmtid="{D5CDD505-2E9C-101B-9397-08002B2CF9AE}" pid="38" name="MSIP_Label_ba62f585-b40f-4ab9-bafe-39150f03d124_SetDate">
    <vt:lpwstr>2024-03-19T11:01:26Z</vt:lpwstr>
  </property>
  <property fmtid="{D5CDD505-2E9C-101B-9397-08002B2CF9AE}" pid="39" name="MSIP_Label_baac98ac-439a-49a1-8393-40c4a75c0a55_SetDate">
    <vt:lpwstr>2023-11-03T10:39:04Z</vt:lpwstr>
  </property>
  <property fmtid="{D5CDD505-2E9C-101B-9397-08002B2CF9AE}" pid="40" name="MSIP_Label_baac98ac-439a-49a1-8393-40c4a75c0a55_ActionId">
    <vt:lpwstr>c0402bbd-4fc9-4451-bdcf-6b3057f3f7f5</vt:lpwstr>
  </property>
  <property fmtid="{D5CDD505-2E9C-101B-9397-08002B2CF9AE}" pid="41" name="ComplianceAssetId">
    <vt:lpwstr/>
  </property>
  <property fmtid="{D5CDD505-2E9C-101B-9397-08002B2CF9AE}" pid="42" name="_ExtendedDescription">
    <vt:lpwstr/>
  </property>
  <property fmtid="{D5CDD505-2E9C-101B-9397-08002B2CF9AE}" pid="43" name="docLang">
    <vt:lpwstr>en</vt:lpwstr>
  </property>
  <property fmtid="{D5CDD505-2E9C-101B-9397-08002B2CF9AE}" pid="44" name="TriggerFlowInfo">
    <vt:lpwstr/>
  </property>
  <property fmtid="{D5CDD505-2E9C-101B-9397-08002B2CF9AE}" pid="45" name="Order">
    <vt:r8>116900</vt:r8>
  </property>
  <property fmtid="{D5CDD505-2E9C-101B-9397-08002B2CF9AE}" pid="46" name="MailAttachments">
    <vt:bool>false</vt:bool>
  </property>
  <property fmtid="{D5CDD505-2E9C-101B-9397-08002B2CF9AE}" pid="47" name="Business_x0020_Unit">
    <vt:lpwstr>1;#Delivery|125c2427-d936-4032-b69a-60fc431a04d2</vt:lpwstr>
  </property>
</Properties>
</file>